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820B4" w14:textId="7073AB5F" w:rsidR="00303CA6" w:rsidRDefault="00BD0703" w:rsidP="00FC1136">
      <w:pPr>
        <w:spacing w:after="0" w:line="276" w:lineRule="auto"/>
        <w:jc w:val="center"/>
        <w:rPr>
          <w:rFonts w:ascii="Garamond" w:eastAsia="Garamond" w:hAnsi="Garamond" w:cs="Garamond"/>
          <w:b/>
          <w:sz w:val="28"/>
          <w:szCs w:val="28"/>
        </w:rPr>
      </w:pPr>
      <w:r w:rsidRPr="00BD0703">
        <w:rPr>
          <w:rFonts w:ascii="Garamond" w:eastAsia="Garamond" w:hAnsi="Garamond" w:cs="Garamond"/>
          <w:b/>
          <w:sz w:val="28"/>
          <w:szCs w:val="28"/>
        </w:rPr>
        <w:t>Unlocking Logistics Efficiency: The Strategic Role of Third-Party Logistics (3PL) in Indonesia’s Manufacturing Sector</w:t>
      </w:r>
    </w:p>
    <w:p w14:paraId="3F8D40B3" w14:textId="77777777" w:rsidR="00FC1136" w:rsidRDefault="00FC1136" w:rsidP="00FC1136">
      <w:pPr>
        <w:spacing w:after="0" w:line="276" w:lineRule="auto"/>
        <w:jc w:val="center"/>
        <w:rPr>
          <w:rFonts w:ascii="Garamond" w:eastAsia="Garamond" w:hAnsi="Garamond" w:cs="Garamond"/>
          <w:b/>
          <w:sz w:val="24"/>
          <w:szCs w:val="24"/>
        </w:rPr>
      </w:pPr>
    </w:p>
    <w:p w14:paraId="49D6B75D" w14:textId="2FCD3CF3" w:rsidR="00FC1136" w:rsidRPr="00FC1136" w:rsidRDefault="00BC4E48" w:rsidP="00FC1136">
      <w:pPr>
        <w:spacing w:line="276" w:lineRule="auto"/>
        <w:jc w:val="center"/>
        <w:rPr>
          <w:rFonts w:ascii="Garamond" w:eastAsia="Garamond" w:hAnsi="Garamond" w:cs="Garamond"/>
          <w:bCs/>
          <w:sz w:val="24"/>
          <w:szCs w:val="24"/>
        </w:rPr>
      </w:pPr>
      <w:proofErr w:type="spellStart"/>
      <w:r w:rsidRPr="00BC4E48">
        <w:rPr>
          <w:rFonts w:ascii="Garamond" w:eastAsia="Garamond" w:hAnsi="Garamond" w:cs="Garamond"/>
          <w:b/>
          <w:sz w:val="24"/>
          <w:szCs w:val="24"/>
        </w:rPr>
        <w:t>Ahnis</w:t>
      </w:r>
      <w:proofErr w:type="spellEnd"/>
      <w:r w:rsidRPr="00BC4E48">
        <w:rPr>
          <w:rFonts w:ascii="Garamond" w:eastAsia="Garamond" w:hAnsi="Garamond" w:cs="Garamond"/>
          <w:b/>
          <w:sz w:val="24"/>
          <w:szCs w:val="24"/>
        </w:rPr>
        <w:t xml:space="preserve"> Zulkarnain</w:t>
      </w:r>
      <w:r w:rsidR="00FC1136">
        <w:rPr>
          <w:rFonts w:ascii="Garamond" w:eastAsia="Garamond" w:hAnsi="Garamond" w:cs="Garamond"/>
          <w:b/>
          <w:sz w:val="24"/>
          <w:szCs w:val="24"/>
        </w:rPr>
        <w:br/>
      </w:r>
      <w:proofErr w:type="spellStart"/>
      <w:r w:rsidRPr="00BC4E48">
        <w:rPr>
          <w:rFonts w:ascii="Garamond" w:eastAsia="Garamond" w:hAnsi="Garamond" w:cs="Garamond"/>
          <w:b/>
          <w:sz w:val="24"/>
          <w:szCs w:val="24"/>
        </w:rPr>
        <w:t>Politeknik</w:t>
      </w:r>
      <w:proofErr w:type="spellEnd"/>
      <w:r w:rsidRPr="00BC4E48">
        <w:rPr>
          <w:rFonts w:ascii="Garamond" w:eastAsia="Garamond" w:hAnsi="Garamond" w:cs="Garamond"/>
          <w:b/>
          <w:sz w:val="24"/>
          <w:szCs w:val="24"/>
        </w:rPr>
        <w:t xml:space="preserve"> </w:t>
      </w:r>
      <w:proofErr w:type="spellStart"/>
      <w:r w:rsidRPr="00BC4E48">
        <w:rPr>
          <w:rFonts w:ascii="Garamond" w:eastAsia="Garamond" w:hAnsi="Garamond" w:cs="Garamond"/>
          <w:b/>
          <w:sz w:val="24"/>
          <w:szCs w:val="24"/>
        </w:rPr>
        <w:t>Penerbangan</w:t>
      </w:r>
      <w:proofErr w:type="spellEnd"/>
      <w:r w:rsidRPr="00BC4E48">
        <w:rPr>
          <w:rFonts w:ascii="Garamond" w:eastAsia="Garamond" w:hAnsi="Garamond" w:cs="Garamond"/>
          <w:b/>
          <w:sz w:val="24"/>
          <w:szCs w:val="24"/>
        </w:rPr>
        <w:t xml:space="preserve"> Medan</w:t>
      </w:r>
      <w:r w:rsidR="00670BBF">
        <w:rPr>
          <w:rFonts w:ascii="Garamond" w:eastAsia="Garamond" w:hAnsi="Garamond" w:cs="Garamond"/>
          <w:b/>
          <w:sz w:val="24"/>
          <w:szCs w:val="24"/>
        </w:rPr>
        <w:t>, Indonesia</w:t>
      </w:r>
      <w:r w:rsidR="00FC1136">
        <w:rPr>
          <w:rFonts w:ascii="Garamond" w:eastAsia="Garamond" w:hAnsi="Garamond" w:cs="Garamond"/>
          <w:b/>
          <w:sz w:val="24"/>
          <w:szCs w:val="24"/>
        </w:rPr>
        <w:br/>
      </w:r>
      <w:r w:rsidR="00FC1136">
        <w:rPr>
          <w:rFonts w:ascii="Garamond" w:eastAsia="Garamond" w:hAnsi="Garamond" w:cs="Garamond"/>
          <w:bCs/>
          <w:sz w:val="24"/>
          <w:szCs w:val="24"/>
        </w:rPr>
        <w:t xml:space="preserve">Correspondent: </w:t>
      </w:r>
      <w:hyperlink r:id="rId8" w:history="1">
        <w:r w:rsidR="00A25FA4" w:rsidRPr="00F77CDA">
          <w:rPr>
            <w:rStyle w:val="Hyperlink"/>
            <w:rFonts w:ascii="Garamond" w:eastAsia="Garamond" w:hAnsi="Garamond" w:cs="Garamond"/>
            <w:bCs/>
            <w:sz w:val="24"/>
            <w:szCs w:val="24"/>
          </w:rPr>
          <w:t>quirina@poltekbangsby.ac.id</w:t>
        </w:r>
      </w:hyperlink>
    </w:p>
    <w:tbl>
      <w:tblPr>
        <w:tblStyle w:val="a"/>
        <w:tblW w:w="9214" w:type="dxa"/>
        <w:tblBorders>
          <w:top w:val="single" w:sz="4" w:space="0" w:color="000000"/>
          <w:bottom w:val="single" w:sz="4" w:space="0" w:color="7F7F7F"/>
          <w:insideH w:val="single" w:sz="4" w:space="0" w:color="7F7F7F"/>
          <w:insideV w:val="single" w:sz="4" w:space="0" w:color="000000"/>
        </w:tblBorders>
        <w:tblLayout w:type="fixed"/>
        <w:tblLook w:val="04A0" w:firstRow="1" w:lastRow="0" w:firstColumn="1" w:lastColumn="0" w:noHBand="0" w:noVBand="1"/>
      </w:tblPr>
      <w:tblGrid>
        <w:gridCol w:w="3828"/>
        <w:gridCol w:w="5386"/>
      </w:tblGrid>
      <w:tr w:rsidR="00303CA6" w14:paraId="3A33F8C6" w14:textId="77777777" w:rsidTr="00FC11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808080" w:themeColor="background1" w:themeShade="80"/>
              <w:bottom w:val="none" w:sz="0" w:space="0" w:color="auto"/>
              <w:right w:val="nil"/>
            </w:tcBorders>
          </w:tcPr>
          <w:p w14:paraId="42AB65E4" w14:textId="150A49AD" w:rsidR="00303CA6" w:rsidRDefault="00000000">
            <w:pPr>
              <w:pStyle w:val="Heading1"/>
              <w:tabs>
                <w:tab w:val="left" w:pos="1029"/>
                <w:tab w:val="left" w:pos="5025"/>
              </w:tabs>
              <w:spacing w:before="120"/>
              <w:rPr>
                <w:rFonts w:ascii="Garamond" w:eastAsia="Garamond" w:hAnsi="Garamond" w:cs="Garamond"/>
                <w:color w:val="000000"/>
                <w:sz w:val="20"/>
                <w:szCs w:val="20"/>
              </w:rPr>
            </w:pPr>
            <w:bookmarkStart w:id="0" w:name="_heading=h.gjdgxs" w:colFirst="0" w:colLast="0"/>
            <w:bookmarkEnd w:id="0"/>
            <w:r>
              <w:rPr>
                <w:rFonts w:ascii="Garamond" w:eastAsia="Garamond" w:hAnsi="Garamond" w:cs="Garamond"/>
                <w:b w:val="0"/>
                <w:color w:val="000000"/>
                <w:sz w:val="20"/>
                <w:szCs w:val="20"/>
              </w:rPr>
              <w:t>Received</w:t>
            </w:r>
            <w:r>
              <w:rPr>
                <w:rFonts w:ascii="Garamond" w:eastAsia="Garamond" w:hAnsi="Garamond" w:cs="Garamond"/>
                <w:b w:val="0"/>
                <w:color w:val="000000"/>
                <w:sz w:val="20"/>
                <w:szCs w:val="20"/>
              </w:rPr>
              <w:tab/>
              <w:t>:</w:t>
            </w:r>
            <w:r w:rsidR="00C41165">
              <w:rPr>
                <w:rFonts w:ascii="Garamond" w:eastAsia="Garamond" w:hAnsi="Garamond" w:cs="Garamond"/>
                <w:b w:val="0"/>
                <w:color w:val="000000"/>
                <w:sz w:val="20"/>
                <w:szCs w:val="20"/>
              </w:rPr>
              <w:t xml:space="preserve"> June 19, 2025</w:t>
            </w:r>
          </w:p>
          <w:p w14:paraId="4470C720" w14:textId="796E510D" w:rsidR="00303CA6" w:rsidRDefault="00000000">
            <w:pPr>
              <w:pStyle w:val="Heading1"/>
              <w:tabs>
                <w:tab w:val="left" w:pos="1029"/>
                <w:tab w:val="left" w:pos="5025"/>
              </w:tabs>
              <w:spacing w:before="120"/>
              <w:rPr>
                <w:rFonts w:ascii="Garamond" w:eastAsia="Garamond" w:hAnsi="Garamond" w:cs="Garamond"/>
                <w:color w:val="000000"/>
                <w:sz w:val="20"/>
                <w:szCs w:val="20"/>
              </w:rPr>
            </w:pPr>
            <w:r>
              <w:rPr>
                <w:rFonts w:ascii="Garamond" w:eastAsia="Garamond" w:hAnsi="Garamond" w:cs="Garamond"/>
                <w:b w:val="0"/>
                <w:color w:val="000000"/>
                <w:sz w:val="20"/>
                <w:szCs w:val="20"/>
              </w:rPr>
              <w:t>Accepted</w:t>
            </w:r>
            <w:r>
              <w:rPr>
                <w:rFonts w:ascii="Garamond" w:eastAsia="Garamond" w:hAnsi="Garamond" w:cs="Garamond"/>
                <w:b w:val="0"/>
                <w:color w:val="000000"/>
                <w:sz w:val="20"/>
                <w:szCs w:val="20"/>
              </w:rPr>
              <w:tab/>
              <w:t>:</w:t>
            </w:r>
            <w:r w:rsidR="00C41165">
              <w:rPr>
                <w:rFonts w:ascii="Garamond" w:eastAsia="Garamond" w:hAnsi="Garamond" w:cs="Garamond"/>
                <w:b w:val="0"/>
                <w:color w:val="000000"/>
                <w:sz w:val="20"/>
                <w:szCs w:val="20"/>
              </w:rPr>
              <w:t xml:space="preserve"> August 07, 2025</w:t>
            </w:r>
          </w:p>
          <w:p w14:paraId="3593F4A9" w14:textId="51C45F66" w:rsidR="00303CA6" w:rsidRDefault="00000000">
            <w:pPr>
              <w:pStyle w:val="Heading1"/>
              <w:tabs>
                <w:tab w:val="left" w:pos="1029"/>
                <w:tab w:val="left" w:pos="5025"/>
              </w:tabs>
              <w:spacing w:before="120"/>
              <w:rPr>
                <w:rFonts w:ascii="Garamond" w:eastAsia="Garamond" w:hAnsi="Garamond" w:cs="Garamond"/>
                <w:color w:val="000000"/>
                <w:sz w:val="20"/>
                <w:szCs w:val="20"/>
              </w:rPr>
            </w:pPr>
            <w:r>
              <w:rPr>
                <w:rFonts w:ascii="Garamond" w:eastAsia="Garamond" w:hAnsi="Garamond" w:cs="Garamond"/>
                <w:b w:val="0"/>
                <w:color w:val="000000"/>
                <w:sz w:val="20"/>
                <w:szCs w:val="20"/>
              </w:rPr>
              <w:t>Published</w:t>
            </w:r>
            <w:r>
              <w:rPr>
                <w:rFonts w:ascii="Garamond" w:eastAsia="Garamond" w:hAnsi="Garamond" w:cs="Garamond"/>
                <w:b w:val="0"/>
                <w:color w:val="000000"/>
                <w:sz w:val="20"/>
                <w:szCs w:val="20"/>
              </w:rPr>
              <w:tab/>
              <w:t>:</w:t>
            </w:r>
            <w:r w:rsidR="00C41165">
              <w:rPr>
                <w:rFonts w:ascii="Garamond" w:eastAsia="Garamond" w:hAnsi="Garamond" w:cs="Garamond"/>
                <w:b w:val="0"/>
                <w:color w:val="000000"/>
                <w:sz w:val="20"/>
                <w:szCs w:val="20"/>
              </w:rPr>
              <w:t xml:space="preserve"> August 31, 2025</w:t>
            </w:r>
          </w:p>
          <w:p w14:paraId="081DCFAA" w14:textId="77777777" w:rsidR="00303CA6" w:rsidRDefault="00303CA6">
            <w:pPr>
              <w:pStyle w:val="Heading1"/>
              <w:tabs>
                <w:tab w:val="left" w:pos="5025"/>
              </w:tabs>
              <w:spacing w:before="120"/>
              <w:rPr>
                <w:rFonts w:ascii="Garamond" w:eastAsia="Garamond" w:hAnsi="Garamond" w:cs="Garamond"/>
                <w:color w:val="000000"/>
                <w:sz w:val="20"/>
                <w:szCs w:val="20"/>
              </w:rPr>
            </w:pPr>
          </w:p>
          <w:p w14:paraId="7AB45F2E" w14:textId="77777777" w:rsidR="00303CA6" w:rsidRDefault="00303CA6">
            <w:pPr>
              <w:pStyle w:val="Heading1"/>
              <w:tabs>
                <w:tab w:val="left" w:pos="5025"/>
              </w:tabs>
              <w:spacing w:before="120"/>
              <w:rPr>
                <w:rFonts w:ascii="Garamond" w:eastAsia="Garamond" w:hAnsi="Garamond" w:cs="Garamond"/>
                <w:color w:val="000000"/>
                <w:sz w:val="20"/>
                <w:szCs w:val="20"/>
              </w:rPr>
            </w:pPr>
          </w:p>
          <w:p w14:paraId="74B47147" w14:textId="77777777" w:rsidR="00303CA6" w:rsidRDefault="00303CA6"/>
          <w:p w14:paraId="496A9D84" w14:textId="77777777" w:rsidR="00303CA6" w:rsidRDefault="00303CA6"/>
          <w:p w14:paraId="1A299A03" w14:textId="19CB2043" w:rsidR="00303CA6" w:rsidRDefault="00000000" w:rsidP="00FC1136">
            <w:pPr>
              <w:pStyle w:val="Heading1"/>
              <w:tabs>
                <w:tab w:val="left" w:pos="5025"/>
              </w:tabs>
              <w:spacing w:before="120"/>
              <w:jc w:val="both"/>
              <w:rPr>
                <w:rFonts w:ascii="Garamond" w:eastAsia="Garamond" w:hAnsi="Garamond" w:cs="Garamond"/>
                <w:color w:val="000000"/>
                <w:sz w:val="20"/>
                <w:szCs w:val="20"/>
              </w:rPr>
            </w:pPr>
            <w:r>
              <w:rPr>
                <w:rFonts w:ascii="Garamond" w:eastAsia="Garamond" w:hAnsi="Garamond" w:cs="Garamond"/>
                <w:b w:val="0"/>
                <w:color w:val="000000"/>
                <w:sz w:val="20"/>
                <w:szCs w:val="20"/>
              </w:rPr>
              <w:t>Citation:</w:t>
            </w:r>
            <w:r w:rsidR="00670BBF">
              <w:rPr>
                <w:rFonts w:ascii="Garamond" w:eastAsia="Garamond" w:hAnsi="Garamond" w:cs="Garamond"/>
                <w:b w:val="0"/>
                <w:color w:val="000000"/>
                <w:sz w:val="20"/>
                <w:szCs w:val="20"/>
              </w:rPr>
              <w:t xml:space="preserve"> </w:t>
            </w:r>
            <w:r w:rsidR="00BC4E48">
              <w:rPr>
                <w:rFonts w:ascii="Garamond" w:eastAsia="Garamond" w:hAnsi="Garamond" w:cs="Garamond"/>
                <w:b w:val="0"/>
                <w:color w:val="000000"/>
                <w:sz w:val="20"/>
                <w:szCs w:val="20"/>
              </w:rPr>
              <w:t>Zulkarnain, A.</w:t>
            </w:r>
            <w:r w:rsidR="00A25FA4">
              <w:rPr>
                <w:rFonts w:ascii="Garamond" w:eastAsia="Garamond" w:hAnsi="Garamond" w:cs="Garamond"/>
                <w:b w:val="0"/>
                <w:color w:val="000000"/>
                <w:sz w:val="20"/>
                <w:szCs w:val="20"/>
              </w:rPr>
              <w:t>,</w:t>
            </w:r>
            <w:r w:rsidR="00670BBF">
              <w:rPr>
                <w:rFonts w:ascii="Garamond" w:eastAsia="Garamond" w:hAnsi="Garamond" w:cs="Garamond"/>
                <w:b w:val="0"/>
                <w:color w:val="000000"/>
                <w:sz w:val="20"/>
                <w:szCs w:val="20"/>
              </w:rPr>
              <w:t xml:space="preserve"> </w:t>
            </w:r>
            <w:r>
              <w:rPr>
                <w:rFonts w:ascii="Garamond" w:eastAsia="Garamond" w:hAnsi="Garamond" w:cs="Garamond"/>
                <w:b w:val="0"/>
                <w:color w:val="000000"/>
                <w:sz w:val="20"/>
                <w:szCs w:val="20"/>
              </w:rPr>
              <w:t>(202</w:t>
            </w:r>
            <w:r w:rsidR="00FC1136">
              <w:rPr>
                <w:rFonts w:ascii="Garamond" w:eastAsia="Garamond" w:hAnsi="Garamond" w:cs="Garamond"/>
                <w:b w:val="0"/>
                <w:color w:val="000000"/>
                <w:sz w:val="20"/>
                <w:szCs w:val="20"/>
              </w:rPr>
              <w:t>5</w:t>
            </w:r>
            <w:r>
              <w:rPr>
                <w:rFonts w:ascii="Garamond" w:eastAsia="Garamond" w:hAnsi="Garamond" w:cs="Garamond"/>
                <w:b w:val="0"/>
                <w:color w:val="000000"/>
                <w:sz w:val="20"/>
                <w:szCs w:val="20"/>
              </w:rPr>
              <w:t xml:space="preserve">). </w:t>
            </w:r>
            <w:r w:rsidR="00FC1136" w:rsidRPr="00FC1136">
              <w:rPr>
                <w:rFonts w:ascii="Garamond" w:eastAsia="Garamond" w:hAnsi="Garamond" w:cs="Garamond"/>
                <w:b w:val="0"/>
                <w:color w:val="000000"/>
                <w:sz w:val="20"/>
                <w:szCs w:val="20"/>
              </w:rPr>
              <w:t>Unlocking Logistics Efficiency: The Strategic Role of Third-Party Logistics (3PL) in Indonesia’s Manufacturing Sector</w:t>
            </w:r>
            <w:r>
              <w:rPr>
                <w:rFonts w:ascii="Garamond" w:eastAsia="Garamond" w:hAnsi="Garamond" w:cs="Garamond"/>
                <w:b w:val="0"/>
                <w:color w:val="000000"/>
                <w:sz w:val="20"/>
                <w:szCs w:val="20"/>
              </w:rPr>
              <w:t>. </w:t>
            </w:r>
            <w:proofErr w:type="spellStart"/>
            <w:r>
              <w:rPr>
                <w:rFonts w:ascii="Garamond" w:eastAsia="Garamond" w:hAnsi="Garamond" w:cs="Garamond"/>
                <w:b w:val="0"/>
                <w:color w:val="000000"/>
                <w:sz w:val="20"/>
                <w:szCs w:val="20"/>
              </w:rPr>
              <w:t>Sinergi</w:t>
            </w:r>
            <w:proofErr w:type="spellEnd"/>
            <w:r>
              <w:rPr>
                <w:rFonts w:ascii="Garamond" w:eastAsia="Garamond" w:hAnsi="Garamond" w:cs="Garamond"/>
                <w:b w:val="0"/>
                <w:color w:val="000000"/>
                <w:sz w:val="20"/>
                <w:szCs w:val="20"/>
              </w:rPr>
              <w:t xml:space="preserve"> International Journal of Logistics, </w:t>
            </w:r>
            <w:r w:rsidR="00FC1136">
              <w:rPr>
                <w:rFonts w:ascii="Garamond" w:eastAsia="Garamond" w:hAnsi="Garamond" w:cs="Garamond"/>
                <w:b w:val="0"/>
                <w:color w:val="000000"/>
                <w:sz w:val="20"/>
                <w:szCs w:val="20"/>
              </w:rPr>
              <w:t>3</w:t>
            </w:r>
            <w:r>
              <w:rPr>
                <w:rFonts w:ascii="Garamond" w:eastAsia="Garamond" w:hAnsi="Garamond" w:cs="Garamond"/>
                <w:b w:val="0"/>
                <w:color w:val="000000"/>
                <w:sz w:val="20"/>
                <w:szCs w:val="20"/>
              </w:rPr>
              <w:t>(</w:t>
            </w:r>
            <w:r w:rsidR="00FC1136">
              <w:rPr>
                <w:rFonts w:ascii="Garamond" w:eastAsia="Garamond" w:hAnsi="Garamond" w:cs="Garamond"/>
                <w:b w:val="0"/>
                <w:color w:val="000000"/>
                <w:sz w:val="20"/>
                <w:szCs w:val="20"/>
              </w:rPr>
              <w:t>3</w:t>
            </w:r>
            <w:r>
              <w:rPr>
                <w:rFonts w:ascii="Garamond" w:eastAsia="Garamond" w:hAnsi="Garamond" w:cs="Garamond"/>
                <w:b w:val="0"/>
                <w:color w:val="000000"/>
                <w:sz w:val="20"/>
                <w:szCs w:val="20"/>
              </w:rPr>
              <w:t>),</w:t>
            </w:r>
            <w:r w:rsidR="00FC1136">
              <w:rPr>
                <w:rFonts w:ascii="Garamond" w:eastAsia="Garamond" w:hAnsi="Garamond" w:cs="Garamond"/>
                <w:b w:val="0"/>
                <w:color w:val="000000"/>
                <w:sz w:val="20"/>
                <w:szCs w:val="20"/>
              </w:rPr>
              <w:t xml:space="preserve"> </w:t>
            </w:r>
            <w:r w:rsidR="00670BBF">
              <w:rPr>
                <w:rFonts w:ascii="Garamond" w:eastAsia="Garamond" w:hAnsi="Garamond" w:cs="Garamond"/>
                <w:b w:val="0"/>
                <w:color w:val="000000"/>
                <w:sz w:val="20"/>
                <w:szCs w:val="20"/>
              </w:rPr>
              <w:t>135-144.</w:t>
            </w:r>
          </w:p>
        </w:tc>
        <w:tc>
          <w:tcPr>
            <w:tcW w:w="5386" w:type="dxa"/>
            <w:tcBorders>
              <w:top w:val="single" w:sz="4" w:space="0" w:color="808080" w:themeColor="background1" w:themeShade="80"/>
              <w:left w:val="nil"/>
              <w:bottom w:val="none" w:sz="0" w:space="0" w:color="auto"/>
            </w:tcBorders>
          </w:tcPr>
          <w:p w14:paraId="49061C63" w14:textId="77777777" w:rsidR="00303CA6" w:rsidRDefault="00000000" w:rsidP="00BD0703">
            <w:pPr>
              <w:pStyle w:val="Heading1"/>
              <w:tabs>
                <w:tab w:val="left" w:pos="5025"/>
              </w:tabs>
              <w:spacing w:before="120"/>
              <w:jc w:val="both"/>
              <w:cnfStyle w:val="100000000000" w:firstRow="1" w:lastRow="0" w:firstColumn="0" w:lastColumn="0" w:oddVBand="0" w:evenVBand="0" w:oddHBand="0" w:evenHBand="0" w:firstRowFirstColumn="0" w:firstRowLastColumn="0" w:lastRowFirstColumn="0" w:lastRowLastColumn="0"/>
              <w:rPr>
                <w:rFonts w:ascii="Garamond" w:eastAsia="Garamond" w:hAnsi="Garamond" w:cs="Garamond"/>
                <w:color w:val="000000"/>
                <w:sz w:val="22"/>
                <w:szCs w:val="22"/>
              </w:rPr>
            </w:pPr>
            <w:r>
              <w:rPr>
                <w:rFonts w:ascii="Garamond" w:eastAsia="Garamond" w:hAnsi="Garamond" w:cs="Garamond"/>
                <w:color w:val="000000"/>
                <w:sz w:val="22"/>
                <w:szCs w:val="22"/>
              </w:rPr>
              <w:t xml:space="preserve">ABSTRACT: </w:t>
            </w:r>
            <w:r w:rsidR="00BD0703" w:rsidRPr="00BD0703">
              <w:rPr>
                <w:rFonts w:ascii="Garamond" w:eastAsia="Garamond" w:hAnsi="Garamond" w:cs="Garamond"/>
                <w:b w:val="0"/>
                <w:color w:val="000000"/>
                <w:sz w:val="22"/>
                <w:szCs w:val="22"/>
              </w:rPr>
              <w:t>This study investigates the impact of third-party logistics (3PL) outsourcing on the efficiency of Indonesia’s manufacturing sector, a key industry burdened by high logistics costs, infrastructural deficiencies, and regulatory fragmentation. The objective is to determine whether 3PL adoption enhances logistics performance by reducing costs, improving scalability, and mitigating operational inefficiencies.</w:t>
            </w:r>
            <w:r w:rsidR="00BD0703">
              <w:rPr>
                <w:rFonts w:ascii="Garamond" w:eastAsia="Garamond" w:hAnsi="Garamond" w:cs="Garamond"/>
                <w:b w:val="0"/>
                <w:color w:val="000000"/>
                <w:sz w:val="22"/>
                <w:szCs w:val="22"/>
              </w:rPr>
              <w:t xml:space="preserve"> </w:t>
            </w:r>
            <w:r w:rsidR="00BD0703" w:rsidRPr="00BD0703">
              <w:rPr>
                <w:rFonts w:ascii="Garamond" w:eastAsia="Garamond" w:hAnsi="Garamond" w:cs="Garamond"/>
                <w:b w:val="0"/>
                <w:color w:val="000000"/>
                <w:sz w:val="22"/>
                <w:szCs w:val="22"/>
              </w:rPr>
              <w:t>Employing a mixed-method approach, the research draws on secondary data from industry reports and academic literature. Key performance indicators such as logistics cost structures, response time to demand changes, and integration risk severity were analyzed to compare in-house logistics operations with outsourced 3PL models.</w:t>
            </w:r>
            <w:r w:rsidR="00BD0703">
              <w:rPr>
                <w:rFonts w:ascii="Garamond" w:eastAsia="Garamond" w:hAnsi="Garamond" w:cs="Garamond"/>
                <w:b w:val="0"/>
                <w:color w:val="000000"/>
                <w:sz w:val="22"/>
                <w:szCs w:val="22"/>
              </w:rPr>
              <w:t xml:space="preserve"> </w:t>
            </w:r>
            <w:r w:rsidR="00BD0703" w:rsidRPr="00BD0703">
              <w:rPr>
                <w:rFonts w:ascii="Garamond" w:eastAsia="Garamond" w:hAnsi="Garamond" w:cs="Garamond"/>
                <w:b w:val="0"/>
                <w:color w:val="000000"/>
                <w:sz w:val="22"/>
                <w:szCs w:val="22"/>
              </w:rPr>
              <w:t>Results demonstrate significant cost reductions through 3PL - 41.7% in warehousing, 40% in transportation, and 20% in labor alongside enhanced scalability and responsiveness. 3PL providers achieved higher adaptability in managing demand fluctuations, requiring only 3 weeks to scale up operations versus 8 for in-house logistics. However, risks including IT system mismatches (72% frequency), SLA misalignments, and data security concerns were also prevalent.</w:t>
            </w:r>
            <w:r w:rsidR="00BD0703">
              <w:rPr>
                <w:rFonts w:ascii="Garamond" w:eastAsia="Garamond" w:hAnsi="Garamond" w:cs="Garamond"/>
                <w:b w:val="0"/>
                <w:color w:val="000000"/>
                <w:sz w:val="22"/>
                <w:szCs w:val="22"/>
              </w:rPr>
              <w:t xml:space="preserve"> </w:t>
            </w:r>
            <w:r w:rsidR="00BD0703" w:rsidRPr="00BD0703">
              <w:rPr>
                <w:rFonts w:ascii="Garamond" w:eastAsia="Garamond" w:hAnsi="Garamond" w:cs="Garamond"/>
                <w:b w:val="0"/>
                <w:color w:val="000000"/>
                <w:sz w:val="22"/>
                <w:szCs w:val="22"/>
              </w:rPr>
              <w:t>The findings confirm that 3PL offers a viable solution for improving logistics efficiency, provided that integration risks are carefully managed. Long-term 3PL partnerships yield financial as well as strategic benefits, including access to advanced technologies and greater operational agility. For Indonesia to fully realize the advantages of 3PL, coordinated efforts are needed from both the government and private sector to address regulatory bottlenecks, improve infrastructure, and support digital transformation</w:t>
            </w:r>
            <w:r w:rsidR="00BD0703">
              <w:rPr>
                <w:rFonts w:ascii="Garamond" w:eastAsia="Garamond" w:hAnsi="Garamond" w:cs="Garamond"/>
                <w:b w:val="0"/>
                <w:color w:val="000000"/>
                <w:sz w:val="22"/>
                <w:szCs w:val="22"/>
              </w:rPr>
              <w:t>.</w:t>
            </w:r>
          </w:p>
          <w:p w14:paraId="0A7BDDC1" w14:textId="77777777" w:rsidR="00BD0703" w:rsidRPr="00BD0703" w:rsidRDefault="00BD0703" w:rsidP="00BD0703">
            <w:pPr>
              <w:cnfStyle w:val="100000000000" w:firstRow="1" w:lastRow="0" w:firstColumn="0" w:lastColumn="0" w:oddVBand="0" w:evenVBand="0" w:oddHBand="0" w:evenHBand="0" w:firstRowFirstColumn="0" w:firstRowLastColumn="0" w:lastRowFirstColumn="0" w:lastRowLastColumn="0"/>
            </w:pPr>
          </w:p>
          <w:p w14:paraId="4CF6FC25" w14:textId="4F7B0B34" w:rsidR="00303CA6" w:rsidRDefault="00000000" w:rsidP="00FC1136">
            <w:pPr>
              <w:spacing w:after="120"/>
              <w:jc w:val="both"/>
              <w:cnfStyle w:val="100000000000" w:firstRow="1" w:lastRow="0" w:firstColumn="0" w:lastColumn="0" w:oddVBand="0" w:evenVBand="0" w:oddHBand="0" w:evenHBand="0" w:firstRowFirstColumn="0" w:firstRowLastColumn="0" w:lastRowFirstColumn="0" w:lastRowLastColumn="0"/>
              <w:rPr>
                <w:rFonts w:ascii="Garamond" w:eastAsia="Garamond" w:hAnsi="Garamond" w:cs="Garamond"/>
              </w:rPr>
            </w:pPr>
            <w:r>
              <w:rPr>
                <w:rFonts w:ascii="Garamond" w:eastAsia="Garamond" w:hAnsi="Garamond" w:cs="Garamond"/>
              </w:rPr>
              <w:t>Keywords:</w:t>
            </w:r>
            <w:r w:rsidR="00BD0703">
              <w:rPr>
                <w:rFonts w:ascii="Garamond" w:eastAsia="Garamond" w:hAnsi="Garamond" w:cs="Garamond"/>
              </w:rPr>
              <w:t xml:space="preserve"> </w:t>
            </w:r>
            <w:r w:rsidR="00BD0703" w:rsidRPr="00BD0703">
              <w:rPr>
                <w:rFonts w:ascii="Garamond" w:eastAsia="Garamond" w:hAnsi="Garamond" w:cs="Garamond"/>
                <w:b w:val="0"/>
                <w:bCs/>
              </w:rPr>
              <w:t>Third-Party Logistics</w:t>
            </w:r>
            <w:r w:rsidR="00FC1136">
              <w:rPr>
                <w:rFonts w:ascii="Garamond" w:eastAsia="Garamond" w:hAnsi="Garamond" w:cs="Garamond"/>
                <w:b w:val="0"/>
                <w:bCs/>
              </w:rPr>
              <w:t>,</w:t>
            </w:r>
            <w:r w:rsidR="00BD0703" w:rsidRPr="00BD0703">
              <w:rPr>
                <w:rFonts w:ascii="Garamond" w:eastAsia="Garamond" w:hAnsi="Garamond" w:cs="Garamond"/>
                <w:b w:val="0"/>
                <w:bCs/>
              </w:rPr>
              <w:t xml:space="preserve"> Indonesia</w:t>
            </w:r>
            <w:r w:rsidR="00FC1136">
              <w:rPr>
                <w:rFonts w:ascii="Garamond" w:eastAsia="Garamond" w:hAnsi="Garamond" w:cs="Garamond"/>
                <w:b w:val="0"/>
                <w:bCs/>
              </w:rPr>
              <w:t>,</w:t>
            </w:r>
            <w:r w:rsidR="00BD0703" w:rsidRPr="00BD0703">
              <w:rPr>
                <w:rFonts w:ascii="Garamond" w:eastAsia="Garamond" w:hAnsi="Garamond" w:cs="Garamond"/>
                <w:b w:val="0"/>
                <w:bCs/>
              </w:rPr>
              <w:t xml:space="preserve"> Manufacturing Sector</w:t>
            </w:r>
            <w:r w:rsidR="00FC1136">
              <w:rPr>
                <w:rFonts w:ascii="Garamond" w:eastAsia="Garamond" w:hAnsi="Garamond" w:cs="Garamond"/>
                <w:b w:val="0"/>
                <w:bCs/>
              </w:rPr>
              <w:t>,</w:t>
            </w:r>
            <w:r w:rsidR="00BD0703" w:rsidRPr="00BD0703">
              <w:rPr>
                <w:rFonts w:ascii="Garamond" w:eastAsia="Garamond" w:hAnsi="Garamond" w:cs="Garamond"/>
                <w:b w:val="0"/>
                <w:bCs/>
              </w:rPr>
              <w:t xml:space="preserve"> Logistics Efficiency</w:t>
            </w:r>
            <w:r w:rsidR="00FC1136">
              <w:rPr>
                <w:rFonts w:ascii="Garamond" w:eastAsia="Garamond" w:hAnsi="Garamond" w:cs="Garamond"/>
                <w:b w:val="0"/>
                <w:bCs/>
              </w:rPr>
              <w:t>,</w:t>
            </w:r>
            <w:r w:rsidR="00BD0703" w:rsidRPr="00BD0703">
              <w:rPr>
                <w:rFonts w:ascii="Garamond" w:eastAsia="Garamond" w:hAnsi="Garamond" w:cs="Garamond"/>
                <w:b w:val="0"/>
                <w:bCs/>
              </w:rPr>
              <w:t xml:space="preserve"> Supply Chain</w:t>
            </w:r>
            <w:r w:rsidR="00FC1136">
              <w:rPr>
                <w:rFonts w:ascii="Garamond" w:eastAsia="Garamond" w:hAnsi="Garamond" w:cs="Garamond"/>
                <w:b w:val="0"/>
                <w:bCs/>
              </w:rPr>
              <w:t>,</w:t>
            </w:r>
            <w:r w:rsidR="00BD0703" w:rsidRPr="00BD0703">
              <w:rPr>
                <w:rFonts w:ascii="Garamond" w:eastAsia="Garamond" w:hAnsi="Garamond" w:cs="Garamond"/>
                <w:b w:val="0"/>
                <w:bCs/>
              </w:rPr>
              <w:t xml:space="preserve"> Scalability</w:t>
            </w:r>
            <w:r w:rsidR="00FC1136">
              <w:rPr>
                <w:rFonts w:ascii="Garamond" w:eastAsia="Garamond" w:hAnsi="Garamond" w:cs="Garamond"/>
                <w:b w:val="0"/>
                <w:bCs/>
              </w:rPr>
              <w:t xml:space="preserve">, </w:t>
            </w:r>
            <w:r w:rsidR="00BD0703" w:rsidRPr="00BD0703">
              <w:rPr>
                <w:rFonts w:ascii="Garamond" w:eastAsia="Garamond" w:hAnsi="Garamond" w:cs="Garamond"/>
                <w:b w:val="0"/>
                <w:bCs/>
              </w:rPr>
              <w:t>Outsourcing</w:t>
            </w:r>
            <w:r w:rsidR="00BD0703">
              <w:rPr>
                <w:rFonts w:ascii="Garamond" w:eastAsia="Garamond" w:hAnsi="Garamond" w:cs="Garamond"/>
                <w:b w:val="0"/>
                <w:bCs/>
              </w:rPr>
              <w:t>.</w:t>
            </w:r>
          </w:p>
        </w:tc>
      </w:tr>
      <w:tr w:rsidR="00303CA6" w14:paraId="2EA74340" w14:textId="77777777" w:rsidTr="00FC11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Borders>
              <w:top w:val="none" w:sz="0" w:space="0" w:color="auto"/>
              <w:bottom w:val="none" w:sz="0" w:space="0" w:color="auto"/>
            </w:tcBorders>
          </w:tcPr>
          <w:p w14:paraId="76DB9BE4" w14:textId="77777777" w:rsidR="00303CA6" w:rsidRDefault="00303CA6" w:rsidP="00FC1136">
            <w:pPr>
              <w:pStyle w:val="Heading1"/>
              <w:tabs>
                <w:tab w:val="left" w:pos="5025"/>
              </w:tabs>
              <w:spacing w:before="0"/>
              <w:jc w:val="both"/>
              <w:rPr>
                <w:rFonts w:ascii="Garamond" w:eastAsia="Garamond" w:hAnsi="Garamond" w:cs="Garamond"/>
                <w:color w:val="000000"/>
                <w:sz w:val="20"/>
                <w:szCs w:val="20"/>
              </w:rPr>
            </w:pPr>
          </w:p>
        </w:tc>
        <w:tc>
          <w:tcPr>
            <w:tcW w:w="5386" w:type="dxa"/>
            <w:tcBorders>
              <w:top w:val="none" w:sz="0" w:space="0" w:color="auto"/>
              <w:bottom w:val="none" w:sz="0" w:space="0" w:color="auto"/>
            </w:tcBorders>
          </w:tcPr>
          <w:p w14:paraId="61F88378" w14:textId="1F3F8903" w:rsidR="00303CA6" w:rsidRDefault="00FC1136" w:rsidP="00FC1136">
            <w:pPr>
              <w:pStyle w:val="Heading1"/>
              <w:tabs>
                <w:tab w:val="left" w:pos="5025"/>
              </w:tabs>
              <w:spacing w:before="0"/>
              <w:jc w:val="both"/>
              <w:cnfStyle w:val="000000100000" w:firstRow="0" w:lastRow="0" w:firstColumn="0" w:lastColumn="0" w:oddVBand="0" w:evenVBand="0" w:oddHBand="1" w:evenHBand="0" w:firstRowFirstColumn="0" w:firstRowLastColumn="0" w:lastRowFirstColumn="0" w:lastRowLastColumn="0"/>
              <w:rPr>
                <w:rFonts w:ascii="Garamond" w:eastAsia="Garamond" w:hAnsi="Garamond" w:cs="Garamond"/>
                <w:color w:val="000000"/>
                <w:sz w:val="22"/>
                <w:szCs w:val="22"/>
              </w:rPr>
            </w:pPr>
            <w:r>
              <w:rPr>
                <w:noProof/>
              </w:rPr>
              <w:drawing>
                <wp:anchor distT="0" distB="0" distL="114300" distR="114300" simplePos="0" relativeHeight="251658240" behindDoc="0" locked="0" layoutInCell="1" hidden="0" allowOverlap="1" wp14:anchorId="011D015B" wp14:editId="0A14466C">
                  <wp:simplePos x="0" y="0"/>
                  <wp:positionH relativeFrom="column">
                    <wp:posOffset>-3175</wp:posOffset>
                  </wp:positionH>
                  <wp:positionV relativeFrom="paragraph">
                    <wp:posOffset>9525</wp:posOffset>
                  </wp:positionV>
                  <wp:extent cx="723900" cy="286385"/>
                  <wp:effectExtent l="0" t="0" r="0" b="0"/>
                  <wp:wrapSquare wrapText="bothSides" distT="0" distB="0" distL="114300" distR="114300"/>
                  <wp:docPr id="61051646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723900" cy="286385"/>
                          </a:xfrm>
                          <a:prstGeom prst="rect">
                            <a:avLst/>
                          </a:prstGeom>
                          <a:ln/>
                        </pic:spPr>
                      </pic:pic>
                    </a:graphicData>
                  </a:graphic>
                </wp:anchor>
              </w:drawing>
            </w:r>
            <w:r>
              <w:rPr>
                <w:rFonts w:ascii="Garamond" w:eastAsia="Garamond" w:hAnsi="Garamond" w:cs="Garamond"/>
                <w:color w:val="000000"/>
                <w:sz w:val="22"/>
                <w:szCs w:val="22"/>
              </w:rPr>
              <w:t xml:space="preserve">This is an open access article under the </w:t>
            </w:r>
          </w:p>
          <w:p w14:paraId="15D8865C" w14:textId="77777777" w:rsidR="00303CA6" w:rsidRDefault="00000000" w:rsidP="00FC1136">
            <w:pPr>
              <w:cnfStyle w:val="000000100000" w:firstRow="0" w:lastRow="0" w:firstColumn="0" w:lastColumn="0" w:oddVBand="0" w:evenVBand="0" w:oddHBand="1" w:evenHBand="0" w:firstRowFirstColumn="0" w:firstRowLastColumn="0" w:lastRowFirstColumn="0" w:lastRowLastColumn="0"/>
              <w:rPr>
                <w:rFonts w:ascii="Garamond" w:eastAsia="Garamond" w:hAnsi="Garamond" w:cs="Garamond"/>
              </w:rPr>
            </w:pPr>
            <w:r>
              <w:rPr>
                <w:rFonts w:ascii="Garamond" w:eastAsia="Garamond" w:hAnsi="Garamond" w:cs="Garamond"/>
              </w:rPr>
              <w:t>CC-BY 4.0 license</w:t>
            </w:r>
          </w:p>
        </w:tc>
      </w:tr>
    </w:tbl>
    <w:p w14:paraId="61CBC132" w14:textId="77777777" w:rsidR="00303CA6" w:rsidRDefault="00303CA6">
      <w:pPr>
        <w:pStyle w:val="Heading1"/>
        <w:tabs>
          <w:tab w:val="left" w:pos="5025"/>
        </w:tabs>
        <w:spacing w:before="0" w:after="120" w:line="276" w:lineRule="auto"/>
        <w:rPr>
          <w:rFonts w:ascii="Garamond" w:eastAsia="Garamond" w:hAnsi="Garamond" w:cs="Garamond"/>
          <w:b/>
          <w:color w:val="000000"/>
          <w:sz w:val="24"/>
          <w:szCs w:val="24"/>
        </w:rPr>
      </w:pPr>
    </w:p>
    <w:p w14:paraId="60BF77EC" w14:textId="77777777" w:rsidR="00303CA6" w:rsidRPr="00FC1136" w:rsidRDefault="00000000" w:rsidP="00FC1136">
      <w:pPr>
        <w:pStyle w:val="Heading1"/>
        <w:spacing w:before="0" w:after="160" w:line="276" w:lineRule="auto"/>
        <w:jc w:val="both"/>
        <w:rPr>
          <w:rFonts w:ascii="Garamond" w:eastAsia="Garamond" w:hAnsi="Garamond" w:cs="Garamond"/>
          <w:b/>
          <w:color w:val="000000"/>
          <w:sz w:val="24"/>
          <w:szCs w:val="24"/>
        </w:rPr>
      </w:pPr>
      <w:r w:rsidRPr="00FC1136">
        <w:rPr>
          <w:rFonts w:ascii="Garamond" w:eastAsia="Garamond" w:hAnsi="Garamond" w:cs="Garamond"/>
          <w:b/>
          <w:color w:val="000000"/>
          <w:sz w:val="24"/>
          <w:szCs w:val="24"/>
        </w:rPr>
        <w:t>INTRODUCTION</w:t>
      </w:r>
    </w:p>
    <w:p w14:paraId="2C6893FE" w14:textId="77777777" w:rsidR="00BD0703" w:rsidRPr="00FC1136" w:rsidRDefault="00BD0703" w:rsidP="00FC1136">
      <w:pPr>
        <w:pBdr>
          <w:top w:val="nil"/>
          <w:left w:val="nil"/>
          <w:bottom w:val="nil"/>
          <w:right w:val="nil"/>
          <w:between w:val="nil"/>
        </w:pBdr>
        <w:shd w:val="clear" w:color="auto" w:fill="FFFFFF"/>
        <w:spacing w:line="276" w:lineRule="auto"/>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 xml:space="preserve">The manufacturing sector in Indonesia is an integral component of the nation's economic structure, contributing significantly to employment, exports, and industrial output. However, this sector is encumbered by persistent logistics challenges that undermine its efficiency and </w:t>
      </w:r>
      <w:r w:rsidRPr="00FC1136">
        <w:rPr>
          <w:rFonts w:ascii="Garamond" w:eastAsia="Garamond" w:hAnsi="Garamond" w:cs="Garamond"/>
          <w:color w:val="000000"/>
          <w:sz w:val="24"/>
          <w:szCs w:val="24"/>
        </w:rPr>
        <w:lastRenderedPageBreak/>
        <w:t xml:space="preserve">competitiveness in global markets. These challenges are rooted in several structural and systemic issues that manifest as high logistics costs, inefficient transportation systems, and regulatory fragmentation. According to Iskandar &amp; Arifin, (2023), outdated transport infrastructure and frequent traffic congestion are primary contributors to prolonged delivery times and increased operational costs. Similarly, </w:t>
      </w:r>
      <w:proofErr w:type="spellStart"/>
      <w:r w:rsidRPr="00FC1136">
        <w:rPr>
          <w:rFonts w:ascii="Garamond" w:eastAsia="Garamond" w:hAnsi="Garamond" w:cs="Garamond"/>
          <w:color w:val="000000"/>
          <w:sz w:val="24"/>
          <w:szCs w:val="24"/>
        </w:rPr>
        <w:t>Nursyifa</w:t>
      </w:r>
      <w:proofErr w:type="spellEnd"/>
      <w:r w:rsidRPr="00FC1136">
        <w:rPr>
          <w:rFonts w:ascii="Garamond" w:eastAsia="Garamond" w:hAnsi="Garamond" w:cs="Garamond"/>
          <w:color w:val="000000"/>
          <w:sz w:val="24"/>
          <w:szCs w:val="24"/>
        </w:rPr>
        <w:t xml:space="preserve"> (2023) observes that these factors critically weaken Indonesia’s capacity to maintain and expand its market presence internationally.</w:t>
      </w:r>
    </w:p>
    <w:p w14:paraId="43024965" w14:textId="77777777" w:rsidR="00BD0703" w:rsidRPr="00FC1136" w:rsidRDefault="00BD0703" w:rsidP="00FC1136">
      <w:pPr>
        <w:pBdr>
          <w:top w:val="nil"/>
          <w:left w:val="nil"/>
          <w:bottom w:val="nil"/>
          <w:right w:val="nil"/>
          <w:between w:val="nil"/>
        </w:pBdr>
        <w:shd w:val="clear" w:color="auto" w:fill="FFFFFF"/>
        <w:spacing w:line="276" w:lineRule="auto"/>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The regulatory landscape adds a further layer of complexity. As Haris et al. (2022) highlight, the coexistence of multiple administrative jurisdictions leads to fragmented regulatory frameworks, obstructing the free movement of goods and complicating logistics coordination. These issues underscore a need for structural reform and more efficient logistics strategies within the manufacturing sector. Among the strategic responses to these constraints is the increasing adoption of Third-Party Logistics (3PL) services.</w:t>
      </w:r>
    </w:p>
    <w:p w14:paraId="49C68487" w14:textId="77777777" w:rsidR="00BD0703" w:rsidRPr="00FC1136" w:rsidRDefault="00BD0703" w:rsidP="00FC1136">
      <w:pPr>
        <w:pBdr>
          <w:top w:val="nil"/>
          <w:left w:val="nil"/>
          <w:bottom w:val="nil"/>
          <w:right w:val="nil"/>
          <w:between w:val="nil"/>
        </w:pBdr>
        <w:shd w:val="clear" w:color="auto" w:fill="FFFFFF"/>
        <w:spacing w:line="276" w:lineRule="auto"/>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 xml:space="preserve">Globally and regionally, 3PL has evolved from traditional freight forwarding and warehousing to highly integrated, technology-driven service models. Thai et al. (2021) note that in Southeast Asia, this evolution is characterized by collaborative logistics partnerships and investments in digital infrastructure. </w:t>
      </w:r>
      <w:proofErr w:type="spellStart"/>
      <w:r w:rsidRPr="00FC1136">
        <w:rPr>
          <w:rFonts w:ascii="Garamond" w:eastAsia="Garamond" w:hAnsi="Garamond" w:cs="Garamond"/>
          <w:color w:val="000000"/>
          <w:sz w:val="24"/>
          <w:szCs w:val="24"/>
        </w:rPr>
        <w:t>Prataviera</w:t>
      </w:r>
      <w:proofErr w:type="spellEnd"/>
      <w:r w:rsidRPr="00FC1136">
        <w:rPr>
          <w:rFonts w:ascii="Garamond" w:eastAsia="Garamond" w:hAnsi="Garamond" w:cs="Garamond"/>
          <w:color w:val="000000"/>
          <w:sz w:val="24"/>
          <w:szCs w:val="24"/>
        </w:rPr>
        <w:t xml:space="preserve"> et al. (2021) further assert that 3PL adoption is driven by the imperative for firms to concentrate on core competencies while outsourcing logistics operations to specialists. This transformation enables businesses to enhance supply chain efficiency and flexibility while reducing internal operational burdens.</w:t>
      </w:r>
    </w:p>
    <w:p w14:paraId="5FD70AE7" w14:textId="77777777" w:rsidR="00BD0703" w:rsidRPr="00FC1136" w:rsidRDefault="00BD0703" w:rsidP="00FC1136">
      <w:pPr>
        <w:pBdr>
          <w:top w:val="nil"/>
          <w:left w:val="nil"/>
          <w:bottom w:val="nil"/>
          <w:right w:val="nil"/>
          <w:between w:val="nil"/>
        </w:pBdr>
        <w:shd w:val="clear" w:color="auto" w:fill="FFFFFF"/>
        <w:spacing w:line="276" w:lineRule="auto"/>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In developing economies like Indonesia, logistics costs are disproportionately high relative to GDP, largely due to infrastructural deficits and operational inefficiencies (</w:t>
      </w:r>
      <w:proofErr w:type="spellStart"/>
      <w:r w:rsidRPr="00FC1136">
        <w:rPr>
          <w:rFonts w:ascii="Garamond" w:eastAsia="Garamond" w:hAnsi="Garamond" w:cs="Garamond"/>
          <w:color w:val="000000"/>
          <w:sz w:val="24"/>
          <w:szCs w:val="24"/>
        </w:rPr>
        <w:t>Hidayati</w:t>
      </w:r>
      <w:proofErr w:type="spellEnd"/>
      <w:r w:rsidRPr="00FC1136">
        <w:rPr>
          <w:rFonts w:ascii="Garamond" w:eastAsia="Garamond" w:hAnsi="Garamond" w:cs="Garamond"/>
          <w:color w:val="000000"/>
          <w:sz w:val="24"/>
          <w:szCs w:val="24"/>
        </w:rPr>
        <w:t xml:space="preserve"> &amp; </w:t>
      </w:r>
      <w:proofErr w:type="spellStart"/>
      <w:r w:rsidRPr="00FC1136">
        <w:rPr>
          <w:rFonts w:ascii="Garamond" w:eastAsia="Garamond" w:hAnsi="Garamond" w:cs="Garamond"/>
          <w:color w:val="000000"/>
          <w:sz w:val="24"/>
          <w:szCs w:val="24"/>
        </w:rPr>
        <w:t>Pheungpha</w:t>
      </w:r>
      <w:proofErr w:type="spellEnd"/>
      <w:r w:rsidRPr="00FC1136">
        <w:rPr>
          <w:rFonts w:ascii="Garamond" w:eastAsia="Garamond" w:hAnsi="Garamond" w:cs="Garamond"/>
          <w:color w:val="000000"/>
          <w:sz w:val="24"/>
          <w:szCs w:val="24"/>
        </w:rPr>
        <w:t xml:space="preserve">, 2023). Transportation remains the most cost-intensive logistics component, with high dependency on road-based systems that are often congested and poorly maintained. </w:t>
      </w:r>
      <w:proofErr w:type="spellStart"/>
      <w:r w:rsidRPr="00FC1136">
        <w:rPr>
          <w:rFonts w:ascii="Garamond" w:eastAsia="Garamond" w:hAnsi="Garamond" w:cs="Garamond"/>
          <w:color w:val="000000"/>
          <w:sz w:val="24"/>
          <w:szCs w:val="24"/>
        </w:rPr>
        <w:t>Nursyifa</w:t>
      </w:r>
      <w:proofErr w:type="spellEnd"/>
      <w:r w:rsidRPr="00FC1136">
        <w:rPr>
          <w:rFonts w:ascii="Garamond" w:eastAsia="Garamond" w:hAnsi="Garamond" w:cs="Garamond"/>
          <w:color w:val="000000"/>
          <w:sz w:val="24"/>
          <w:szCs w:val="24"/>
        </w:rPr>
        <w:t xml:space="preserve"> (2023) emphasizes that underdeveloped logistics facilities and a lack of automation contribute to a reliance on manual labor and processes, exacerbating costs and reducing supply chain responsiveness. Consequently, many manufacturing firms are compelled to seek cost-effective alternatives, of which 3PL is a leading candidate.</w:t>
      </w:r>
    </w:p>
    <w:p w14:paraId="57CA3448" w14:textId="77777777" w:rsidR="00BD0703" w:rsidRPr="00FC1136" w:rsidRDefault="00BD0703" w:rsidP="00FC1136">
      <w:pPr>
        <w:pBdr>
          <w:top w:val="nil"/>
          <w:left w:val="nil"/>
          <w:bottom w:val="nil"/>
          <w:right w:val="nil"/>
          <w:between w:val="nil"/>
        </w:pBdr>
        <w:shd w:val="clear" w:color="auto" w:fill="FFFFFF"/>
        <w:spacing w:line="276" w:lineRule="auto"/>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The strategic value of 3PL lies not only in its capacity to reduce logistics expenditures but also in its ability to enhance supply chain responsiveness. By leveraging the logistical capabilities of 3PL providers, manufacturers can more readily adapt to market fluctuations and meet customer expectations efficiently. Shi et al. (2024) argue that outsourcing logistics enables firms to benefit from the specialized knowledge and infrastructure of 3PL providers, resulting in improved delivery performance and customer satisfaction. Such benefits are particularly critical in an era where lead time and service reliability directly affect market competitiveness.</w:t>
      </w:r>
    </w:p>
    <w:p w14:paraId="03448B5F" w14:textId="77777777" w:rsidR="00BD0703" w:rsidRPr="00FC1136" w:rsidRDefault="00BD0703" w:rsidP="00FC1136">
      <w:pPr>
        <w:pBdr>
          <w:top w:val="nil"/>
          <w:left w:val="nil"/>
          <w:bottom w:val="nil"/>
          <w:right w:val="nil"/>
          <w:between w:val="nil"/>
        </w:pBdr>
        <w:shd w:val="clear" w:color="auto" w:fill="FFFFFF"/>
        <w:spacing w:line="276" w:lineRule="auto"/>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Digitalization further amplifies the value proposition of 3PL. According to Chernova et al. (2023), the integration of digital technologies into logistics operations enhances real-time data visibility, facilitates predictive analytics, and supports better decision-making. These tools also enable seamless communication between manufacturers and their logistics partners, fostering synchronized and efficient supply chain ecosystems. As Shi et al. (2024) observe, the digital transformation of logistics processes underpins operational agility and transparency, both of which are vital in today's globalized production networks.</w:t>
      </w:r>
    </w:p>
    <w:p w14:paraId="77A36D7C" w14:textId="77777777" w:rsidR="00BD0703" w:rsidRPr="00FC1136" w:rsidRDefault="00BD0703" w:rsidP="00FC1136">
      <w:pPr>
        <w:pBdr>
          <w:top w:val="nil"/>
          <w:left w:val="nil"/>
          <w:bottom w:val="nil"/>
          <w:right w:val="nil"/>
          <w:between w:val="nil"/>
        </w:pBdr>
        <w:shd w:val="clear" w:color="auto" w:fill="FFFFFF"/>
        <w:spacing w:line="276" w:lineRule="auto"/>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lastRenderedPageBreak/>
        <w:t>In Indonesia, the government's role in shaping the logistics landscape is increasingly recognized. Policy initiatives aimed at enhancing transport infrastructure, reducing bureaucratic hurdles, and promoting investment in logistics technology are instrumental in supporting 3PL growth. Haris et al. (2022) document the state's efforts to modernize logistics systems and incentivize efficiency through reforms and subsidies. These policies reflect an acknowledgment of logistics as a critical enabler of industrial productivity and international trade competitiveness.</w:t>
      </w:r>
    </w:p>
    <w:p w14:paraId="53AC342C" w14:textId="77777777" w:rsidR="00303CA6" w:rsidRPr="00FC1136" w:rsidRDefault="00BD0703" w:rsidP="00FC1136">
      <w:pPr>
        <w:pBdr>
          <w:top w:val="nil"/>
          <w:left w:val="nil"/>
          <w:bottom w:val="nil"/>
          <w:right w:val="nil"/>
          <w:between w:val="nil"/>
        </w:pBdr>
        <w:shd w:val="clear" w:color="auto" w:fill="FFFFFF"/>
        <w:spacing w:line="276" w:lineRule="auto"/>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Taken together, these developments signal a fundamental transformation in how logistics is managed within Indonesia’s manufacturing sector. While structural challenges remain, the adoption of 3PL augmented by technological advancements and supportive public policies presents a viable strategy for addressing inefficiencies and fostering industrial competitiveness. This study, therefore, seeks to evaluate the impact of 3PL adoption on logistics performance in Indonesian manufacturing, exploring both the benefits and inherent challenges. In doing so, it aims to fill a gap in the literature regarding context-specific assessments of 3PL effectiveness in emerging market economies.</w:t>
      </w:r>
    </w:p>
    <w:p w14:paraId="22AECD04" w14:textId="77777777" w:rsidR="00FC1136" w:rsidRDefault="00FC1136" w:rsidP="00FC1136">
      <w:pPr>
        <w:spacing w:line="276" w:lineRule="auto"/>
        <w:jc w:val="both"/>
        <w:rPr>
          <w:rFonts w:ascii="Garamond" w:eastAsia="Garamond" w:hAnsi="Garamond" w:cs="Garamond"/>
          <w:sz w:val="24"/>
          <w:szCs w:val="24"/>
        </w:rPr>
      </w:pPr>
    </w:p>
    <w:p w14:paraId="105A4BC9" w14:textId="6923EFAE" w:rsidR="00303CA6" w:rsidRPr="00FC1136" w:rsidRDefault="00000000" w:rsidP="00FC1136">
      <w:pPr>
        <w:spacing w:line="276" w:lineRule="auto"/>
        <w:jc w:val="both"/>
        <w:rPr>
          <w:rFonts w:ascii="Garamond" w:eastAsia="Garamond" w:hAnsi="Garamond" w:cs="Garamond"/>
          <w:b/>
          <w:sz w:val="24"/>
          <w:szCs w:val="24"/>
        </w:rPr>
      </w:pPr>
      <w:r w:rsidRPr="00FC1136">
        <w:rPr>
          <w:rFonts w:ascii="Garamond" w:eastAsia="Garamond" w:hAnsi="Garamond" w:cs="Garamond"/>
          <w:b/>
          <w:sz w:val="24"/>
          <w:szCs w:val="24"/>
        </w:rPr>
        <w:t>METHOD</w:t>
      </w:r>
    </w:p>
    <w:p w14:paraId="731A22A7" w14:textId="77777777" w:rsidR="00BD0703" w:rsidRPr="00FC1136" w:rsidRDefault="00BD0703" w:rsidP="00FC1136">
      <w:pPr>
        <w:pBdr>
          <w:top w:val="nil"/>
          <w:left w:val="nil"/>
          <w:bottom w:val="nil"/>
          <w:right w:val="nil"/>
          <w:between w:val="nil"/>
        </w:pBdr>
        <w:shd w:val="clear" w:color="auto" w:fill="FFFFFF"/>
        <w:spacing w:line="276" w:lineRule="auto"/>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This study employs a mixed-method approach to evaluate the impact of third-party logistics (3PL) outsourcing on logistics efficiency within Indonesia’s manufacturing sector. The analysis integrates secondary data from industry reports and academic sources with contextual literature insights to provide a comprehensive view of performance outcomes, risk factors, and strategic implications.</w:t>
      </w:r>
    </w:p>
    <w:p w14:paraId="21F4C5A1" w14:textId="77777777" w:rsidR="00BD0703" w:rsidRPr="00FC1136" w:rsidRDefault="00BD0703" w:rsidP="00FC1136">
      <w:pPr>
        <w:pBdr>
          <w:top w:val="nil"/>
          <w:left w:val="nil"/>
          <w:bottom w:val="nil"/>
          <w:right w:val="nil"/>
          <w:between w:val="nil"/>
        </w:pBdr>
        <w:shd w:val="clear" w:color="auto" w:fill="FFFFFF"/>
        <w:spacing w:line="276" w:lineRule="auto"/>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A secondary data analysis approach was selected because of the availability of rich, previously validated datasets from credible sources such as Ken Research, Edith Cowan University, and Grand View Research. These sources provide structured insights into logistics costs, operational performance metrics, and 3PL market trends. The use of secondary data allows for time-efficient and cost-effective access to broad and comparative datasets, although care was taken to address potential limitations related to relevance and specificity (Langkamp et al., 2021; Weston et al., 2019).</w:t>
      </w:r>
    </w:p>
    <w:p w14:paraId="492DC1C6" w14:textId="77777777" w:rsidR="00BD0703" w:rsidRPr="00FC1136" w:rsidRDefault="00BD0703" w:rsidP="00FC1136">
      <w:pPr>
        <w:pBdr>
          <w:top w:val="nil"/>
          <w:left w:val="nil"/>
          <w:bottom w:val="nil"/>
          <w:right w:val="nil"/>
          <w:between w:val="nil"/>
        </w:pBdr>
        <w:shd w:val="clear" w:color="auto" w:fill="FFFFFF"/>
        <w:spacing w:line="276" w:lineRule="auto"/>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Three key datasets were extracted to represent performance comparisons between in-house logistics and outsourced 3PL models:</w:t>
      </w:r>
    </w:p>
    <w:p w14:paraId="7B6F955A" w14:textId="77777777" w:rsidR="00BD0703" w:rsidRPr="00FC1136" w:rsidRDefault="00BD0703" w:rsidP="00FC1136">
      <w:pPr>
        <w:pStyle w:val="ListParagraph"/>
        <w:numPr>
          <w:ilvl w:val="0"/>
          <w:numId w:val="1"/>
        </w:numPr>
        <w:pBdr>
          <w:top w:val="nil"/>
          <w:left w:val="nil"/>
          <w:bottom w:val="nil"/>
          <w:right w:val="nil"/>
          <w:between w:val="nil"/>
        </w:pBdr>
        <w:shd w:val="clear" w:color="auto" w:fill="FFFFFF"/>
        <w:spacing w:after="160"/>
        <w:ind w:left="284" w:hanging="284"/>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Cost efficiency dataset: Sourced from comparative reports showing logistics cost structures.</w:t>
      </w:r>
    </w:p>
    <w:p w14:paraId="02C1A864" w14:textId="77777777" w:rsidR="00BD0703" w:rsidRPr="00FC1136" w:rsidRDefault="00BD0703" w:rsidP="00FC1136">
      <w:pPr>
        <w:pStyle w:val="ListParagraph"/>
        <w:numPr>
          <w:ilvl w:val="0"/>
          <w:numId w:val="1"/>
        </w:numPr>
        <w:pBdr>
          <w:top w:val="nil"/>
          <w:left w:val="nil"/>
          <w:bottom w:val="nil"/>
          <w:right w:val="nil"/>
          <w:between w:val="nil"/>
        </w:pBdr>
        <w:shd w:val="clear" w:color="auto" w:fill="FFFFFF"/>
        <w:spacing w:after="160"/>
        <w:ind w:left="284" w:hanging="284"/>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Scalability and responsiveness dataset: Drawn from benchmarks in flexibility metrics such as time to scale operations and responsiveness to demand fluctuations.</w:t>
      </w:r>
    </w:p>
    <w:p w14:paraId="5A65C032" w14:textId="77777777" w:rsidR="00BD0703" w:rsidRPr="00FC1136" w:rsidRDefault="00BD0703" w:rsidP="00FC1136">
      <w:pPr>
        <w:pStyle w:val="ListParagraph"/>
        <w:numPr>
          <w:ilvl w:val="0"/>
          <w:numId w:val="1"/>
        </w:numPr>
        <w:pBdr>
          <w:top w:val="nil"/>
          <w:left w:val="nil"/>
          <w:bottom w:val="nil"/>
          <w:right w:val="nil"/>
          <w:between w:val="nil"/>
        </w:pBdr>
        <w:shd w:val="clear" w:color="auto" w:fill="FFFFFF"/>
        <w:spacing w:after="160"/>
        <w:ind w:left="284" w:hanging="284"/>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Integration risks dataset: Based on qualitative surveys and industry studies highlighting the frequency and severity of challenges such as system mismatch and SLA misalignment.</w:t>
      </w:r>
    </w:p>
    <w:p w14:paraId="4FE55E5F" w14:textId="77777777" w:rsidR="00BD0703" w:rsidRPr="00FC1136" w:rsidRDefault="00BD0703" w:rsidP="00FC1136">
      <w:pPr>
        <w:pBdr>
          <w:top w:val="nil"/>
          <w:left w:val="nil"/>
          <w:bottom w:val="nil"/>
          <w:right w:val="nil"/>
          <w:between w:val="nil"/>
        </w:pBdr>
        <w:shd w:val="clear" w:color="auto" w:fill="FFFFFF"/>
        <w:spacing w:line="276" w:lineRule="auto"/>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Logistics performance was evaluated using key performance indicators (KPIs) relevant to manufacturing logistics:</w:t>
      </w:r>
    </w:p>
    <w:p w14:paraId="2D6251A2" w14:textId="77777777" w:rsidR="00BD0703" w:rsidRPr="00FC1136" w:rsidRDefault="00BD0703" w:rsidP="00FC1136">
      <w:pPr>
        <w:pStyle w:val="ListParagraph"/>
        <w:numPr>
          <w:ilvl w:val="0"/>
          <w:numId w:val="2"/>
        </w:numPr>
        <w:pBdr>
          <w:top w:val="nil"/>
          <w:left w:val="nil"/>
          <w:bottom w:val="nil"/>
          <w:right w:val="nil"/>
          <w:between w:val="nil"/>
        </w:pBdr>
        <w:shd w:val="clear" w:color="auto" w:fill="FFFFFF"/>
        <w:spacing w:after="160"/>
        <w:ind w:left="284" w:hanging="284"/>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On-time delivery rate</w:t>
      </w:r>
    </w:p>
    <w:p w14:paraId="2FE275A4" w14:textId="77777777" w:rsidR="00BD0703" w:rsidRPr="00FC1136" w:rsidRDefault="00BD0703" w:rsidP="00FC1136">
      <w:pPr>
        <w:pStyle w:val="ListParagraph"/>
        <w:numPr>
          <w:ilvl w:val="0"/>
          <w:numId w:val="2"/>
        </w:numPr>
        <w:pBdr>
          <w:top w:val="nil"/>
          <w:left w:val="nil"/>
          <w:bottom w:val="nil"/>
          <w:right w:val="nil"/>
          <w:between w:val="nil"/>
        </w:pBdr>
        <w:shd w:val="clear" w:color="auto" w:fill="FFFFFF"/>
        <w:spacing w:after="160"/>
        <w:ind w:left="284" w:hanging="284"/>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Order fulfillment accuracy</w:t>
      </w:r>
    </w:p>
    <w:p w14:paraId="1DC7DA7D" w14:textId="77777777" w:rsidR="00BD0703" w:rsidRPr="00FC1136" w:rsidRDefault="00BD0703" w:rsidP="00FC1136">
      <w:pPr>
        <w:pStyle w:val="ListParagraph"/>
        <w:numPr>
          <w:ilvl w:val="0"/>
          <w:numId w:val="2"/>
        </w:numPr>
        <w:pBdr>
          <w:top w:val="nil"/>
          <w:left w:val="nil"/>
          <w:bottom w:val="nil"/>
          <w:right w:val="nil"/>
          <w:between w:val="nil"/>
        </w:pBdr>
        <w:shd w:val="clear" w:color="auto" w:fill="FFFFFF"/>
        <w:spacing w:after="160"/>
        <w:ind w:left="284" w:hanging="284"/>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lastRenderedPageBreak/>
        <w:t>Logistics cost per shipment</w:t>
      </w:r>
    </w:p>
    <w:p w14:paraId="1715B2F2" w14:textId="77777777" w:rsidR="00BD0703" w:rsidRPr="00FC1136" w:rsidRDefault="00BD0703" w:rsidP="00FC1136">
      <w:pPr>
        <w:pStyle w:val="ListParagraph"/>
        <w:numPr>
          <w:ilvl w:val="0"/>
          <w:numId w:val="2"/>
        </w:numPr>
        <w:pBdr>
          <w:top w:val="nil"/>
          <w:left w:val="nil"/>
          <w:bottom w:val="nil"/>
          <w:right w:val="nil"/>
          <w:between w:val="nil"/>
        </w:pBdr>
        <w:shd w:val="clear" w:color="auto" w:fill="FFFFFF"/>
        <w:spacing w:after="160"/>
        <w:ind w:left="284" w:hanging="284"/>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Response time to demand changes</w:t>
      </w:r>
    </w:p>
    <w:p w14:paraId="367EB6F8" w14:textId="77777777" w:rsidR="00BD0703" w:rsidRPr="00FC1136" w:rsidRDefault="00BD0703" w:rsidP="00FC1136">
      <w:pPr>
        <w:pBdr>
          <w:top w:val="nil"/>
          <w:left w:val="nil"/>
          <w:bottom w:val="nil"/>
          <w:right w:val="nil"/>
          <w:between w:val="nil"/>
        </w:pBdr>
        <w:shd w:val="clear" w:color="auto" w:fill="FFFFFF"/>
        <w:spacing w:line="276" w:lineRule="auto"/>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These indicators were selected based on their frequent usage in logistics evaluation studies (Baidoo-Baiden, 2022). Additionally, stakeholder perceptions from case-based reports provided qualitative assessments of customer satisfaction, process improvement, and service quality enhancements following 3PL adoption.</w:t>
      </w:r>
    </w:p>
    <w:p w14:paraId="093B38E7" w14:textId="77777777" w:rsidR="00BD0703" w:rsidRPr="00FC1136" w:rsidRDefault="00BD0703" w:rsidP="00FC1136">
      <w:pPr>
        <w:pBdr>
          <w:top w:val="nil"/>
          <w:left w:val="nil"/>
          <w:bottom w:val="nil"/>
          <w:right w:val="nil"/>
          <w:between w:val="nil"/>
        </w:pBdr>
        <w:shd w:val="clear" w:color="auto" w:fill="FFFFFF"/>
        <w:spacing w:line="276" w:lineRule="auto"/>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The analysis incorporated comparative tables and descriptive statistics to highlight differences in logistics performance between 3PL and in-house models. Although the study did not conduct original statistical modeling (e.g., regression or DEA), findings from previous quantitative studies were used to contextualize outcomes (Rezaei et al., 2018).</w:t>
      </w:r>
    </w:p>
    <w:p w14:paraId="4417979C" w14:textId="77777777" w:rsidR="00BD0703" w:rsidRPr="00FC1136" w:rsidRDefault="00BD0703" w:rsidP="00FC1136">
      <w:pPr>
        <w:pBdr>
          <w:top w:val="nil"/>
          <w:left w:val="nil"/>
          <w:bottom w:val="nil"/>
          <w:right w:val="nil"/>
          <w:between w:val="nil"/>
        </w:pBdr>
        <w:shd w:val="clear" w:color="auto" w:fill="FFFFFF"/>
        <w:spacing w:line="276" w:lineRule="auto"/>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The primary strength of the methodology lies in its ability to draw from validated external datasets, ensuring reliability of descriptive findings. However, limitations include potential gaps in data granularity and contextual specificity (O’Connor, 2020). To mitigate these issues, findings were interpreted alongside qualitative insights and framed within the Indonesian logistics context to preserve analytical relevance.</w:t>
      </w:r>
    </w:p>
    <w:p w14:paraId="582013A3" w14:textId="77777777" w:rsidR="00303CA6" w:rsidRPr="00FC1136" w:rsidRDefault="00BD0703" w:rsidP="00FC1136">
      <w:pPr>
        <w:pBdr>
          <w:top w:val="nil"/>
          <w:left w:val="nil"/>
          <w:bottom w:val="nil"/>
          <w:right w:val="nil"/>
          <w:between w:val="nil"/>
        </w:pBdr>
        <w:shd w:val="clear" w:color="auto" w:fill="FFFFFF"/>
        <w:spacing w:line="276" w:lineRule="auto"/>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In summary, the chosen methodology allows for a balanced analysis of cost, scalability, and risk dimensions in 3PL outsourcing, supporting the article’s goal to provide actionable insights for both researchers and practitioners.</w:t>
      </w:r>
    </w:p>
    <w:p w14:paraId="5E397939" w14:textId="77777777" w:rsidR="00FC1136" w:rsidRDefault="00FC1136" w:rsidP="00FC1136">
      <w:pPr>
        <w:pStyle w:val="Heading1"/>
        <w:spacing w:before="0" w:after="160" w:line="276" w:lineRule="auto"/>
        <w:jc w:val="both"/>
        <w:rPr>
          <w:rFonts w:ascii="Garamond" w:eastAsia="Garamond" w:hAnsi="Garamond" w:cs="Garamond"/>
          <w:b/>
          <w:color w:val="000000"/>
          <w:sz w:val="24"/>
          <w:szCs w:val="24"/>
        </w:rPr>
      </w:pPr>
    </w:p>
    <w:p w14:paraId="619E377E" w14:textId="737803DF" w:rsidR="00303CA6" w:rsidRPr="00FC1136" w:rsidRDefault="00000000" w:rsidP="00FC1136">
      <w:pPr>
        <w:pStyle w:val="Heading1"/>
        <w:spacing w:before="0" w:after="160" w:line="276" w:lineRule="auto"/>
        <w:jc w:val="both"/>
        <w:rPr>
          <w:rFonts w:ascii="Garamond" w:eastAsia="Garamond" w:hAnsi="Garamond" w:cs="Garamond"/>
          <w:b/>
          <w:color w:val="000000"/>
          <w:sz w:val="24"/>
          <w:szCs w:val="24"/>
        </w:rPr>
      </w:pPr>
      <w:r w:rsidRPr="00FC1136">
        <w:rPr>
          <w:rFonts w:ascii="Garamond" w:eastAsia="Garamond" w:hAnsi="Garamond" w:cs="Garamond"/>
          <w:b/>
          <w:color w:val="000000"/>
          <w:sz w:val="24"/>
          <w:szCs w:val="24"/>
        </w:rPr>
        <w:t>RESULT AND DISCUSSION</w:t>
      </w:r>
    </w:p>
    <w:p w14:paraId="0DC3D077" w14:textId="5DEC593F" w:rsidR="00BD0703" w:rsidRPr="00FC1136" w:rsidRDefault="00BD0703" w:rsidP="00FC1136">
      <w:pPr>
        <w:spacing w:line="276" w:lineRule="auto"/>
        <w:jc w:val="both"/>
        <w:rPr>
          <w:rFonts w:ascii="Garamond" w:eastAsia="Garamond" w:hAnsi="Garamond" w:cs="Garamond"/>
          <w:b/>
          <w:bCs/>
          <w:color w:val="000000"/>
          <w:sz w:val="24"/>
          <w:szCs w:val="24"/>
        </w:rPr>
      </w:pPr>
      <w:r w:rsidRPr="00FC1136">
        <w:rPr>
          <w:rFonts w:ascii="Garamond" w:eastAsia="Garamond" w:hAnsi="Garamond" w:cs="Garamond"/>
          <w:b/>
          <w:bCs/>
          <w:color w:val="000000"/>
          <w:sz w:val="24"/>
          <w:szCs w:val="24"/>
        </w:rPr>
        <w:t>Cost Efficiency</w:t>
      </w:r>
    </w:p>
    <w:p w14:paraId="2C212A17" w14:textId="77777777" w:rsidR="00BD0703" w:rsidRPr="00FC1136" w:rsidRDefault="00BD0703" w:rsidP="00FC1136">
      <w:pPr>
        <w:spacing w:line="276" w:lineRule="auto"/>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Empirical evidence underscores the financial benefits of outsourcing logistics to third-party logistics (3PL) providers. Studies by Mageto et al. (2018) highlight how outsourcing transportation and warehousing services results in notable cost savings. In Indonesia, operational costs associated with warehousing, labor, and transportation are markedly high due to infrastructural and systemic inefficiencies. This study’s dataset reveals that warehousing costs drop by 41.7%, transportation by 40%, and labor by 20%, yielding an overall logistics cost reduction of 35.3%.</w:t>
      </w:r>
    </w:p>
    <w:p w14:paraId="0F588B6D" w14:textId="77777777" w:rsidR="00BD0703" w:rsidRPr="00FC1136" w:rsidRDefault="00BD0703" w:rsidP="00FC1136">
      <w:pPr>
        <w:spacing w:line="276" w:lineRule="auto"/>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These results are aligned with global research indicating warehousing as a primary cost-saving domain due to reduced capital investments and enhanced inventory management (</w:t>
      </w:r>
      <w:proofErr w:type="spellStart"/>
      <w:r w:rsidRPr="00FC1136">
        <w:rPr>
          <w:rFonts w:ascii="Garamond" w:eastAsia="Garamond" w:hAnsi="Garamond" w:cs="Garamond"/>
          <w:color w:val="000000"/>
          <w:sz w:val="24"/>
          <w:szCs w:val="24"/>
        </w:rPr>
        <w:t>Baruffaldi</w:t>
      </w:r>
      <w:proofErr w:type="spellEnd"/>
      <w:r w:rsidRPr="00FC1136">
        <w:rPr>
          <w:rFonts w:ascii="Garamond" w:eastAsia="Garamond" w:hAnsi="Garamond" w:cs="Garamond"/>
          <w:color w:val="000000"/>
          <w:sz w:val="24"/>
          <w:szCs w:val="24"/>
        </w:rPr>
        <w:t xml:space="preserve"> et al., 2020). Additionally, comparisons with regional neighbors show Indonesia’s logistics costs remain disproportionately high due to inadequate infrastructure and regulatory complexity (Wang et al., 2021). Firm-specific factors such as scale, complexity, and internal process maturity also influence variability in cost reduction, as noted by Alkhatib (2017).</w:t>
      </w:r>
    </w:p>
    <w:p w14:paraId="5DE6853B" w14:textId="77777777" w:rsidR="00FC1136" w:rsidRDefault="00FC1136" w:rsidP="00FC1136">
      <w:pPr>
        <w:spacing w:line="276" w:lineRule="auto"/>
        <w:jc w:val="both"/>
        <w:rPr>
          <w:rFonts w:ascii="Garamond" w:eastAsia="Garamond" w:hAnsi="Garamond" w:cs="Garamond"/>
          <w:color w:val="000000"/>
          <w:sz w:val="24"/>
          <w:szCs w:val="24"/>
        </w:rPr>
      </w:pPr>
    </w:p>
    <w:p w14:paraId="52E98A9F" w14:textId="7E45FC21" w:rsidR="00BD0703" w:rsidRPr="00FC1136" w:rsidRDefault="00BD0703" w:rsidP="00FC1136">
      <w:pPr>
        <w:spacing w:line="276" w:lineRule="auto"/>
        <w:jc w:val="both"/>
        <w:rPr>
          <w:rFonts w:ascii="Garamond" w:eastAsia="Garamond" w:hAnsi="Garamond" w:cs="Garamond"/>
          <w:b/>
          <w:bCs/>
          <w:color w:val="000000"/>
          <w:sz w:val="24"/>
          <w:szCs w:val="24"/>
        </w:rPr>
      </w:pPr>
      <w:r w:rsidRPr="00FC1136">
        <w:rPr>
          <w:rFonts w:ascii="Garamond" w:eastAsia="Garamond" w:hAnsi="Garamond" w:cs="Garamond"/>
          <w:b/>
          <w:bCs/>
          <w:color w:val="000000"/>
          <w:sz w:val="24"/>
          <w:szCs w:val="24"/>
        </w:rPr>
        <w:t>Scalability and Responsiveness</w:t>
      </w:r>
    </w:p>
    <w:p w14:paraId="6477CE2D" w14:textId="77777777" w:rsidR="00BD0703" w:rsidRPr="00FC1136" w:rsidRDefault="00BD0703" w:rsidP="00FC1136">
      <w:pPr>
        <w:spacing w:line="276" w:lineRule="auto"/>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 xml:space="preserve">Data shows that 3PL providers offer superior adaptability in logistics scaling. Time to scale up operations through 3PL averages 3 weeks versus 8 weeks in-house; similarly, scaling down takes 2 </w:t>
      </w:r>
      <w:r w:rsidRPr="00FC1136">
        <w:rPr>
          <w:rFonts w:ascii="Garamond" w:eastAsia="Garamond" w:hAnsi="Garamond" w:cs="Garamond"/>
          <w:color w:val="000000"/>
          <w:sz w:val="24"/>
          <w:szCs w:val="24"/>
        </w:rPr>
        <w:lastRenderedPageBreak/>
        <w:t xml:space="preserve">weeks versus 10. This responsiveness is attributed to advanced logistics technologies, dynamic inventory systems, and optimized transportation networks (Vlachos &amp; </w:t>
      </w:r>
      <w:proofErr w:type="spellStart"/>
      <w:r w:rsidRPr="00FC1136">
        <w:rPr>
          <w:rFonts w:ascii="Garamond" w:eastAsia="Garamond" w:hAnsi="Garamond" w:cs="Garamond"/>
          <w:color w:val="000000"/>
          <w:sz w:val="24"/>
          <w:szCs w:val="24"/>
        </w:rPr>
        <w:t>Polichronidou</w:t>
      </w:r>
      <w:proofErr w:type="spellEnd"/>
      <w:r w:rsidRPr="00FC1136">
        <w:rPr>
          <w:rFonts w:ascii="Garamond" w:eastAsia="Garamond" w:hAnsi="Garamond" w:cs="Garamond"/>
          <w:color w:val="000000"/>
          <w:sz w:val="24"/>
          <w:szCs w:val="24"/>
        </w:rPr>
        <w:t>, 2023).</w:t>
      </w:r>
    </w:p>
    <w:p w14:paraId="632D7B13" w14:textId="77777777" w:rsidR="00BD0703" w:rsidRPr="00FC1136" w:rsidRDefault="00BD0703" w:rsidP="00FC1136">
      <w:pPr>
        <w:spacing w:line="276" w:lineRule="auto"/>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Key performance metrics such as order fulfillment rates and inventory turnover further support these findings. According to Baglio et al. (2023), such indicators enable firms to maintain agile supply chains that are responsive to customer demands. 3PLs also outperform in-house models in crisis scenarios natural disasters or demand surges by virtue of streamlined processes and shorter decision cycles (Asian et al., 2019). The use of technologies like IoT further enhances real-time visibility and forecasting accuracy, strengthening supply chain responsiveness (Kaur, 2021).</w:t>
      </w:r>
    </w:p>
    <w:p w14:paraId="30F2D782" w14:textId="77777777" w:rsidR="00FC1136" w:rsidRDefault="00FC1136" w:rsidP="00FC1136">
      <w:pPr>
        <w:spacing w:line="276" w:lineRule="auto"/>
        <w:jc w:val="both"/>
        <w:rPr>
          <w:rFonts w:ascii="Garamond" w:eastAsia="Garamond" w:hAnsi="Garamond" w:cs="Garamond"/>
          <w:color w:val="000000"/>
          <w:sz w:val="24"/>
          <w:szCs w:val="24"/>
        </w:rPr>
      </w:pPr>
    </w:p>
    <w:p w14:paraId="62D762DD" w14:textId="54648FF0" w:rsidR="00BD0703" w:rsidRPr="00FC1136" w:rsidRDefault="00BD0703" w:rsidP="00FC1136">
      <w:pPr>
        <w:spacing w:line="276" w:lineRule="auto"/>
        <w:jc w:val="both"/>
        <w:rPr>
          <w:rFonts w:ascii="Garamond" w:eastAsia="Garamond" w:hAnsi="Garamond" w:cs="Garamond"/>
          <w:b/>
          <w:bCs/>
          <w:color w:val="000000"/>
          <w:sz w:val="24"/>
          <w:szCs w:val="24"/>
        </w:rPr>
      </w:pPr>
      <w:r w:rsidRPr="00FC1136">
        <w:rPr>
          <w:rFonts w:ascii="Garamond" w:eastAsia="Garamond" w:hAnsi="Garamond" w:cs="Garamond"/>
          <w:b/>
          <w:bCs/>
          <w:color w:val="000000"/>
          <w:sz w:val="24"/>
          <w:szCs w:val="24"/>
        </w:rPr>
        <w:t>Risk and Integration Challenges</w:t>
      </w:r>
    </w:p>
    <w:p w14:paraId="7BF8A5C1" w14:textId="77777777" w:rsidR="00BD0703" w:rsidRPr="00FC1136" w:rsidRDefault="00BD0703" w:rsidP="00FC1136">
      <w:pPr>
        <w:spacing w:line="276" w:lineRule="auto"/>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Despite clear operational benefits, the adoption of 3PL is not without risks. A significant challenge lies in IT system integration, where mismatched technologies hinder seamless collaboration (</w:t>
      </w:r>
      <w:proofErr w:type="spellStart"/>
      <w:r w:rsidRPr="00FC1136">
        <w:rPr>
          <w:rFonts w:ascii="Garamond" w:eastAsia="Garamond" w:hAnsi="Garamond" w:cs="Garamond"/>
          <w:color w:val="000000"/>
          <w:sz w:val="24"/>
          <w:szCs w:val="24"/>
        </w:rPr>
        <w:t>Nyameboame</w:t>
      </w:r>
      <w:proofErr w:type="spellEnd"/>
      <w:r w:rsidRPr="00FC1136">
        <w:rPr>
          <w:rFonts w:ascii="Garamond" w:eastAsia="Garamond" w:hAnsi="Garamond" w:cs="Garamond"/>
          <w:color w:val="000000"/>
          <w:sz w:val="24"/>
          <w:szCs w:val="24"/>
        </w:rPr>
        <w:t xml:space="preserve"> &amp; </w:t>
      </w:r>
      <w:proofErr w:type="spellStart"/>
      <w:r w:rsidRPr="00FC1136">
        <w:rPr>
          <w:rFonts w:ascii="Garamond" w:eastAsia="Garamond" w:hAnsi="Garamond" w:cs="Garamond"/>
          <w:color w:val="000000"/>
          <w:sz w:val="24"/>
          <w:szCs w:val="24"/>
        </w:rPr>
        <w:t>Haddud</w:t>
      </w:r>
      <w:proofErr w:type="spellEnd"/>
      <w:r w:rsidRPr="00FC1136">
        <w:rPr>
          <w:rFonts w:ascii="Garamond" w:eastAsia="Garamond" w:hAnsi="Garamond" w:cs="Garamond"/>
          <w:color w:val="000000"/>
          <w:sz w:val="24"/>
          <w:szCs w:val="24"/>
        </w:rPr>
        <w:t>, 2017). This study’s dataset indicates that IT mismatches are the most frequent challenge (72%) with a severity rating of 4.3/5. Additional challenges include SLA misalignment (65%) and concerns over data security (48%).</w:t>
      </w:r>
    </w:p>
    <w:p w14:paraId="0CFBC56B" w14:textId="77777777" w:rsidR="00BD0703" w:rsidRPr="00FC1136" w:rsidRDefault="00BD0703" w:rsidP="00FC1136">
      <w:pPr>
        <w:spacing w:line="276" w:lineRule="auto"/>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To mitigate these risks, companies must develop robust integration frameworks. Reza et al. (2020) emphasize the importance of establishing clear communication protocols and investing in training programs. Effective service-level agreements (SLAs) are vital for setting performance benchmarks and managing service failures (Evangelista et al., 2018).</w:t>
      </w:r>
    </w:p>
    <w:p w14:paraId="31D1475B" w14:textId="77777777" w:rsidR="00BD0703" w:rsidRPr="00FC1136" w:rsidRDefault="00BD0703" w:rsidP="00FC1136">
      <w:pPr>
        <w:spacing w:line="276" w:lineRule="auto"/>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 xml:space="preserve">A final consideration is vendor dependency. Long-term contracts can reduce strategic flexibility and increase vulnerability to external disruptions. Firms must diversify logistics partnerships and maintain contingency plans to safeguard operational continuity (Vlachos &amp; </w:t>
      </w:r>
      <w:proofErr w:type="spellStart"/>
      <w:r w:rsidRPr="00FC1136">
        <w:rPr>
          <w:rFonts w:ascii="Garamond" w:eastAsia="Garamond" w:hAnsi="Garamond" w:cs="Garamond"/>
          <w:color w:val="000000"/>
          <w:sz w:val="24"/>
          <w:szCs w:val="24"/>
        </w:rPr>
        <w:t>Polichronidou</w:t>
      </w:r>
      <w:proofErr w:type="spellEnd"/>
      <w:r w:rsidRPr="00FC1136">
        <w:rPr>
          <w:rFonts w:ascii="Garamond" w:eastAsia="Garamond" w:hAnsi="Garamond" w:cs="Garamond"/>
          <w:color w:val="000000"/>
          <w:sz w:val="24"/>
          <w:szCs w:val="24"/>
        </w:rPr>
        <w:t>, 2023).</w:t>
      </w:r>
    </w:p>
    <w:p w14:paraId="44AB2B5A" w14:textId="77777777" w:rsidR="00BD0703" w:rsidRPr="00FC1136" w:rsidRDefault="00BD0703" w:rsidP="00FC1136">
      <w:pPr>
        <w:spacing w:line="276" w:lineRule="auto"/>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The logistics practices in Indonesia reveal significant disparities when compared to both regional and global benchmarks. As of 2020, Indonesia’s Logistics Performance Index (LPI) ranking of 51 illustrates its struggle to match the service quality and infrastructure efficiency of regional leaders such as Singapore and Malaysia (</w:t>
      </w:r>
      <w:proofErr w:type="spellStart"/>
      <w:r w:rsidRPr="00FC1136">
        <w:rPr>
          <w:rFonts w:ascii="Garamond" w:eastAsia="Garamond" w:hAnsi="Garamond" w:cs="Garamond"/>
          <w:color w:val="000000"/>
          <w:sz w:val="24"/>
          <w:szCs w:val="24"/>
        </w:rPr>
        <w:t>Triantoro</w:t>
      </w:r>
      <w:proofErr w:type="spellEnd"/>
      <w:r w:rsidRPr="00FC1136">
        <w:rPr>
          <w:rFonts w:ascii="Garamond" w:eastAsia="Garamond" w:hAnsi="Garamond" w:cs="Garamond"/>
          <w:color w:val="000000"/>
          <w:sz w:val="24"/>
          <w:szCs w:val="24"/>
        </w:rPr>
        <w:t xml:space="preserve">, 2020). These shortcomings stem from persistent structural challenges: high logistics costs, inefficient infrastructure, and regulatory fragmentation. </w:t>
      </w:r>
      <w:proofErr w:type="spellStart"/>
      <w:r w:rsidRPr="00FC1136">
        <w:rPr>
          <w:rFonts w:ascii="Garamond" w:eastAsia="Garamond" w:hAnsi="Garamond" w:cs="Garamond"/>
          <w:color w:val="000000"/>
          <w:sz w:val="24"/>
          <w:szCs w:val="24"/>
        </w:rPr>
        <w:t>Subiyanto</w:t>
      </w:r>
      <w:proofErr w:type="spellEnd"/>
      <w:r w:rsidRPr="00FC1136">
        <w:rPr>
          <w:rFonts w:ascii="Garamond" w:eastAsia="Garamond" w:hAnsi="Garamond" w:cs="Garamond"/>
          <w:color w:val="000000"/>
          <w:sz w:val="24"/>
          <w:szCs w:val="24"/>
        </w:rPr>
        <w:t xml:space="preserve"> (2021) underscores that Indonesia's logistics costs remain among the highest in ASEAN, primarily due to outdated systems, poor intermodal connectivity, and inconsistent policies. These inefficiencies are compounded by regional disparities, especially between eastern and western Indonesia, which complicate delivery logistics and result in uneven service quality across the archipelago (</w:t>
      </w:r>
      <w:proofErr w:type="spellStart"/>
      <w:r w:rsidRPr="00FC1136">
        <w:rPr>
          <w:rFonts w:ascii="Garamond" w:eastAsia="Garamond" w:hAnsi="Garamond" w:cs="Garamond"/>
          <w:color w:val="000000"/>
          <w:sz w:val="24"/>
          <w:szCs w:val="24"/>
        </w:rPr>
        <w:t>Moeis</w:t>
      </w:r>
      <w:proofErr w:type="spellEnd"/>
      <w:r w:rsidRPr="00FC1136">
        <w:rPr>
          <w:rFonts w:ascii="Garamond" w:eastAsia="Garamond" w:hAnsi="Garamond" w:cs="Garamond"/>
          <w:color w:val="000000"/>
          <w:sz w:val="24"/>
          <w:szCs w:val="24"/>
        </w:rPr>
        <w:t xml:space="preserve"> et al., 2017).</w:t>
      </w:r>
    </w:p>
    <w:p w14:paraId="75AAE57F" w14:textId="77777777" w:rsidR="00BD0703" w:rsidRPr="00FC1136" w:rsidRDefault="00BD0703" w:rsidP="00FC1136">
      <w:pPr>
        <w:spacing w:line="276" w:lineRule="auto"/>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 xml:space="preserve">Within this context, third-party logistics (3PL) emerges as a strategic solution but is accompanied by inherent trade-offs. The core advantage of 3PL lies in its cost-efficiency through economies of scale, access to advanced logistics technology, and specialized expertise. However, these benefits often come at the expense of direct control over logistics operations. </w:t>
      </w:r>
      <w:proofErr w:type="spellStart"/>
      <w:r w:rsidRPr="00FC1136">
        <w:rPr>
          <w:rFonts w:ascii="Garamond" w:eastAsia="Garamond" w:hAnsi="Garamond" w:cs="Garamond"/>
          <w:color w:val="000000"/>
          <w:sz w:val="24"/>
          <w:szCs w:val="24"/>
        </w:rPr>
        <w:t>Vouzas</w:t>
      </w:r>
      <w:proofErr w:type="spellEnd"/>
      <w:r w:rsidRPr="00FC1136">
        <w:rPr>
          <w:rFonts w:ascii="Garamond" w:eastAsia="Garamond" w:hAnsi="Garamond" w:cs="Garamond"/>
          <w:color w:val="000000"/>
          <w:sz w:val="24"/>
          <w:szCs w:val="24"/>
        </w:rPr>
        <w:t xml:space="preserve"> &amp; </w:t>
      </w:r>
      <w:proofErr w:type="spellStart"/>
      <w:r w:rsidRPr="00FC1136">
        <w:rPr>
          <w:rFonts w:ascii="Garamond" w:eastAsia="Garamond" w:hAnsi="Garamond" w:cs="Garamond"/>
          <w:color w:val="000000"/>
          <w:sz w:val="24"/>
          <w:szCs w:val="24"/>
        </w:rPr>
        <w:t>Katsogianni</w:t>
      </w:r>
      <w:proofErr w:type="spellEnd"/>
      <w:r w:rsidRPr="00FC1136">
        <w:rPr>
          <w:rFonts w:ascii="Garamond" w:eastAsia="Garamond" w:hAnsi="Garamond" w:cs="Garamond"/>
          <w:color w:val="000000"/>
          <w:sz w:val="24"/>
          <w:szCs w:val="24"/>
        </w:rPr>
        <w:t xml:space="preserve"> (2018) argue that such loss of control may affect a firm's ability to respond swiftly to customer needs, potentially undermining service quality. The need to navigate this trade-off requires careful evaluation, particularly in contexts where service differentiation is critical. Govindan et al. (2016) </w:t>
      </w:r>
      <w:r w:rsidRPr="00FC1136">
        <w:rPr>
          <w:rFonts w:ascii="Garamond" w:eastAsia="Garamond" w:hAnsi="Garamond" w:cs="Garamond"/>
          <w:color w:val="000000"/>
          <w:sz w:val="24"/>
          <w:szCs w:val="24"/>
        </w:rPr>
        <w:lastRenderedPageBreak/>
        <w:t>suggest that aligning performance expectations via service-level agreements (SLAs) and maintaining consistent communication with providers can alleviate some of these concerns while enabling firms to benefit from cost reductions.</w:t>
      </w:r>
    </w:p>
    <w:p w14:paraId="3833361E" w14:textId="77777777" w:rsidR="00BD0703" w:rsidRPr="00FC1136" w:rsidRDefault="00BD0703" w:rsidP="00FC1136">
      <w:pPr>
        <w:spacing w:line="276" w:lineRule="auto"/>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 xml:space="preserve">Assessing the long-term value of 3PL partnerships demands a holistic framework that incorporates not only cost and operational efficiency but also strategic scalability and technological adaptability. Ardi et al. (2024) note that long-term collaborations facilitate operational improvements and access to resources that may be cost-prohibitive to develop internally. Metrics such as order fulfillment rates, customer satisfaction indices, and inventory turnover ratios offer quantifiable indicators of 3PL success (Bajec &amp; </w:t>
      </w:r>
      <w:proofErr w:type="spellStart"/>
      <w:r w:rsidRPr="00FC1136">
        <w:rPr>
          <w:rFonts w:ascii="Garamond" w:eastAsia="Garamond" w:hAnsi="Garamond" w:cs="Garamond"/>
          <w:color w:val="000000"/>
          <w:sz w:val="24"/>
          <w:szCs w:val="24"/>
        </w:rPr>
        <w:t>Tuljak</w:t>
      </w:r>
      <w:proofErr w:type="spellEnd"/>
      <w:r w:rsidRPr="00FC1136">
        <w:rPr>
          <w:rFonts w:ascii="Garamond" w:eastAsia="Garamond" w:hAnsi="Garamond" w:cs="Garamond"/>
          <w:color w:val="000000"/>
          <w:sz w:val="24"/>
          <w:szCs w:val="24"/>
        </w:rPr>
        <w:t>-Suban, 2019). Furthermore, mature partnerships often evolve into strategic alliances where both parties collaborate on innovation, risk mitigation, and continuous improvement initiatives (</w:t>
      </w:r>
      <w:proofErr w:type="spellStart"/>
      <w:r w:rsidRPr="00FC1136">
        <w:rPr>
          <w:rFonts w:ascii="Garamond" w:eastAsia="Garamond" w:hAnsi="Garamond" w:cs="Garamond"/>
          <w:color w:val="000000"/>
          <w:sz w:val="24"/>
          <w:szCs w:val="24"/>
        </w:rPr>
        <w:t>Pradita</w:t>
      </w:r>
      <w:proofErr w:type="spellEnd"/>
      <w:r w:rsidRPr="00FC1136">
        <w:rPr>
          <w:rFonts w:ascii="Garamond" w:eastAsia="Garamond" w:hAnsi="Garamond" w:cs="Garamond"/>
          <w:color w:val="000000"/>
          <w:sz w:val="24"/>
          <w:szCs w:val="24"/>
        </w:rPr>
        <w:t xml:space="preserve"> et al., 2020). In this light, 3PL is not merely a transactional solution but a platform for sustained supply chain evolution.</w:t>
      </w:r>
    </w:p>
    <w:p w14:paraId="1FAFF5D7" w14:textId="77777777" w:rsidR="00BD0703" w:rsidRPr="00FC1136" w:rsidRDefault="00BD0703" w:rsidP="00FC1136">
      <w:pPr>
        <w:spacing w:line="276" w:lineRule="auto"/>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The success of 3PL integration in emerging markets like Indonesia depends significantly on implementation best practices. Key among these is the establishment of transparent communication structures and clearly defined roles, as emphasized by Reza et al. (2020). These frameworks ensure alignment of objectives and improve responsiveness to operational issues. Shi et al. (2017) highlight the importance of joint training initiatives to bridge technological gaps and enhance collaborative performance. Additionally, tailoring KPIs and performance benchmarks to Indonesia’s unique logistics conditions fosters accountability and contextual relevance (</w:t>
      </w:r>
      <w:proofErr w:type="spellStart"/>
      <w:r w:rsidRPr="00FC1136">
        <w:rPr>
          <w:rFonts w:ascii="Garamond" w:eastAsia="Garamond" w:hAnsi="Garamond" w:cs="Garamond"/>
          <w:color w:val="000000"/>
          <w:sz w:val="24"/>
          <w:szCs w:val="24"/>
        </w:rPr>
        <w:t>Torriero</w:t>
      </w:r>
      <w:proofErr w:type="spellEnd"/>
      <w:r w:rsidRPr="00FC1136">
        <w:rPr>
          <w:rFonts w:ascii="Garamond" w:eastAsia="Garamond" w:hAnsi="Garamond" w:cs="Garamond"/>
          <w:color w:val="000000"/>
          <w:sz w:val="24"/>
          <w:szCs w:val="24"/>
        </w:rPr>
        <w:t xml:space="preserve"> et al., 2019). Finally, an inclusive integration process that involves multiple departments and management levels helps address internal resistance and promotes shared ownership of logistics outcomes (Govindan et al., 2016).</w:t>
      </w:r>
    </w:p>
    <w:p w14:paraId="3C7703E2" w14:textId="77777777" w:rsidR="00303CA6" w:rsidRPr="00FC1136" w:rsidRDefault="00BD0703" w:rsidP="00FC1136">
      <w:pPr>
        <w:spacing w:line="276" w:lineRule="auto"/>
        <w:jc w:val="both"/>
        <w:rPr>
          <w:rFonts w:ascii="Garamond" w:eastAsia="Garamond" w:hAnsi="Garamond" w:cs="Garamond"/>
          <w:sz w:val="24"/>
          <w:szCs w:val="24"/>
        </w:rPr>
      </w:pPr>
      <w:r w:rsidRPr="00FC1136">
        <w:rPr>
          <w:rFonts w:ascii="Garamond" w:eastAsia="Garamond" w:hAnsi="Garamond" w:cs="Garamond"/>
          <w:color w:val="000000"/>
          <w:sz w:val="24"/>
          <w:szCs w:val="24"/>
        </w:rPr>
        <w:t>Overall, the integration of 3PL in Indonesia's manufacturing sector holds substantial promise for improving logistics efficiency. Nonetheless, realizing this potential requires managing strategic trade-offs, adopting robust evaluation mechanisms, and institutionalizing best practices in implementation. As Indonesia continues to invest in infrastructure and regulatory reform, 3PL adoption when strategically executed can become a cornerstone in the transformation of its national logistics system</w:t>
      </w:r>
      <w:r w:rsidRPr="00FC1136">
        <w:rPr>
          <w:rFonts w:ascii="Garamond" w:eastAsia="Garamond" w:hAnsi="Garamond" w:cs="Garamond"/>
          <w:color w:val="000000"/>
          <w:sz w:val="24"/>
          <w:szCs w:val="24"/>
          <w:highlight w:val="white"/>
        </w:rPr>
        <w:t>.</w:t>
      </w:r>
    </w:p>
    <w:p w14:paraId="62E62CF1" w14:textId="77777777" w:rsidR="00FC1136" w:rsidRDefault="00FC1136" w:rsidP="00FC1136">
      <w:pPr>
        <w:pStyle w:val="Heading1"/>
        <w:spacing w:before="0" w:after="160" w:line="276" w:lineRule="auto"/>
        <w:jc w:val="both"/>
        <w:rPr>
          <w:rFonts w:ascii="Garamond" w:eastAsia="Garamond" w:hAnsi="Garamond" w:cs="Garamond"/>
          <w:b/>
          <w:color w:val="000000"/>
          <w:sz w:val="24"/>
          <w:szCs w:val="24"/>
        </w:rPr>
      </w:pPr>
    </w:p>
    <w:p w14:paraId="3CDCD995" w14:textId="6F427096" w:rsidR="00303CA6" w:rsidRPr="00FC1136" w:rsidRDefault="00000000" w:rsidP="00FC1136">
      <w:pPr>
        <w:pStyle w:val="Heading1"/>
        <w:spacing w:before="0" w:after="160" w:line="276" w:lineRule="auto"/>
        <w:jc w:val="both"/>
        <w:rPr>
          <w:rFonts w:ascii="Garamond" w:eastAsia="Garamond" w:hAnsi="Garamond" w:cs="Garamond"/>
          <w:b/>
          <w:color w:val="000000"/>
          <w:sz w:val="24"/>
          <w:szCs w:val="24"/>
        </w:rPr>
      </w:pPr>
      <w:r w:rsidRPr="00FC1136">
        <w:rPr>
          <w:rFonts w:ascii="Garamond" w:eastAsia="Garamond" w:hAnsi="Garamond" w:cs="Garamond"/>
          <w:b/>
          <w:color w:val="000000"/>
          <w:sz w:val="24"/>
          <w:szCs w:val="24"/>
        </w:rPr>
        <w:t xml:space="preserve">CONCLUSION </w:t>
      </w:r>
    </w:p>
    <w:p w14:paraId="7F93F2DB" w14:textId="77777777" w:rsidR="00BD0703" w:rsidRPr="00FC1136" w:rsidRDefault="00BD0703" w:rsidP="00FC1136">
      <w:pPr>
        <w:pBdr>
          <w:top w:val="nil"/>
          <w:left w:val="nil"/>
          <w:bottom w:val="nil"/>
          <w:right w:val="nil"/>
          <w:between w:val="nil"/>
        </w:pBdr>
        <w:shd w:val="clear" w:color="auto" w:fill="FFFFFF"/>
        <w:spacing w:line="276" w:lineRule="auto"/>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The integration of third-party logistics (3PL) services into Indonesia’s manufacturing sector represents a critical strategic pathway for improving national logistics efficiency. Amidst longstanding challenges ranging from infrastructure deficits and high logistics costs to regulatory complexity, 3PL provides an opportunity for manufacturers to reduce operational burdens, enhance responsiveness, and achieve greater cost efficiency. This study affirms that outsourcing logistics functions can yield substantial benefits, particularly in warehousing, transportation, and labor cost reductions, while also enabling agility through improved scalability and responsiveness.</w:t>
      </w:r>
    </w:p>
    <w:p w14:paraId="69D8B192" w14:textId="77777777" w:rsidR="00BD0703" w:rsidRPr="00FC1136" w:rsidRDefault="00BD0703" w:rsidP="00FC1136">
      <w:pPr>
        <w:pBdr>
          <w:top w:val="nil"/>
          <w:left w:val="nil"/>
          <w:bottom w:val="nil"/>
          <w:right w:val="nil"/>
          <w:between w:val="nil"/>
        </w:pBdr>
        <w:shd w:val="clear" w:color="auto" w:fill="FFFFFF"/>
        <w:spacing w:line="276" w:lineRule="auto"/>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 xml:space="preserve">However, these gains are not without risks. Integration challenges such as IT system mismatches, misaligned service expectations, and data security concerns remain pressing issues that require deliberate mitigation strategies. Companies must proactively establish robust service-level </w:t>
      </w:r>
      <w:r w:rsidRPr="00FC1136">
        <w:rPr>
          <w:rFonts w:ascii="Garamond" w:eastAsia="Garamond" w:hAnsi="Garamond" w:cs="Garamond"/>
          <w:color w:val="000000"/>
          <w:sz w:val="24"/>
          <w:szCs w:val="24"/>
        </w:rPr>
        <w:lastRenderedPageBreak/>
        <w:t>agreements (SLAs), invest in communication and training, and adopt flexible performance evaluation metrics tailored to the Indonesian logistics context. These steps are crucial in managing the trade-offs between efficiency gains and potential loss of control over logistics operations.</w:t>
      </w:r>
    </w:p>
    <w:p w14:paraId="39210B2D" w14:textId="77777777" w:rsidR="00BD0703" w:rsidRPr="00FC1136" w:rsidRDefault="00BD0703" w:rsidP="00FC1136">
      <w:pPr>
        <w:pBdr>
          <w:top w:val="nil"/>
          <w:left w:val="nil"/>
          <w:bottom w:val="nil"/>
          <w:right w:val="nil"/>
          <w:between w:val="nil"/>
        </w:pBdr>
        <w:shd w:val="clear" w:color="auto" w:fill="FFFFFF"/>
        <w:spacing w:line="276" w:lineRule="auto"/>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The research also underscores that the long-term value of 3PL lies beyond transactional cost savings. Sustainable partnerships are characterized by mutual adaptability, strategic alignment, and continuous process improvement. As manufacturers increasingly seek competitiveness in both domestic and international markets, 3PL emerges not merely as an outsourcing choice but as a long-term logistics strategy.</w:t>
      </w:r>
    </w:p>
    <w:p w14:paraId="43B68EB8" w14:textId="77777777" w:rsidR="00303CA6" w:rsidRPr="00FC1136" w:rsidRDefault="00BD0703" w:rsidP="00FC1136">
      <w:pPr>
        <w:pBdr>
          <w:top w:val="nil"/>
          <w:left w:val="nil"/>
          <w:bottom w:val="nil"/>
          <w:right w:val="nil"/>
          <w:between w:val="nil"/>
        </w:pBdr>
        <w:shd w:val="clear" w:color="auto" w:fill="FFFFFF"/>
        <w:spacing w:line="276" w:lineRule="auto"/>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The broader implication of this study points to the need for supportive policies and infrastructure investments by the Indonesian government. Streamlining regulatory processes, improving inter-island connectivity, and incentivizing digital logistics innovation are essential for maximizing the effectiveness of 3PL in the country. When effectively supported by public and private stakeholders alike, 3PL adoption can serve as a catalyst for elevating Indonesia’s logistics capabilities to regional and global standards.</w:t>
      </w:r>
    </w:p>
    <w:p w14:paraId="2B22C539" w14:textId="77777777" w:rsidR="00FC1136" w:rsidRDefault="00FC1136" w:rsidP="00FC1136">
      <w:pPr>
        <w:pStyle w:val="Heading1"/>
        <w:spacing w:before="0" w:after="160" w:line="276" w:lineRule="auto"/>
        <w:jc w:val="both"/>
        <w:rPr>
          <w:rFonts w:ascii="Garamond" w:eastAsia="Garamond" w:hAnsi="Garamond" w:cs="Garamond"/>
          <w:b/>
          <w:color w:val="000000"/>
          <w:sz w:val="24"/>
          <w:szCs w:val="24"/>
        </w:rPr>
      </w:pPr>
    </w:p>
    <w:p w14:paraId="4D8E0CB9" w14:textId="6FF4F10C" w:rsidR="00303CA6" w:rsidRPr="00FC1136" w:rsidRDefault="00000000" w:rsidP="00FC1136">
      <w:pPr>
        <w:pStyle w:val="Heading1"/>
        <w:spacing w:before="0" w:after="160" w:line="276" w:lineRule="auto"/>
        <w:jc w:val="both"/>
        <w:rPr>
          <w:rFonts w:ascii="Garamond" w:eastAsia="Garamond" w:hAnsi="Garamond" w:cs="Garamond"/>
          <w:b/>
          <w:color w:val="000000"/>
          <w:sz w:val="24"/>
          <w:szCs w:val="24"/>
        </w:rPr>
      </w:pPr>
      <w:r w:rsidRPr="00FC1136">
        <w:rPr>
          <w:rFonts w:ascii="Garamond" w:eastAsia="Garamond" w:hAnsi="Garamond" w:cs="Garamond"/>
          <w:b/>
          <w:color w:val="000000"/>
          <w:sz w:val="24"/>
          <w:szCs w:val="24"/>
        </w:rPr>
        <w:t>REFERENCE</w:t>
      </w:r>
      <w:r w:rsidR="00FC1136">
        <w:rPr>
          <w:rFonts w:ascii="Garamond" w:eastAsia="Garamond" w:hAnsi="Garamond" w:cs="Garamond"/>
          <w:b/>
          <w:color w:val="000000"/>
          <w:sz w:val="24"/>
          <w:szCs w:val="24"/>
        </w:rPr>
        <w:t>S</w:t>
      </w:r>
    </w:p>
    <w:p w14:paraId="5D8AF3EA" w14:textId="77777777" w:rsidR="00BD0703" w:rsidRPr="00FC1136" w:rsidRDefault="00BD0703" w:rsidP="00FC1136">
      <w:pPr>
        <w:spacing w:line="276" w:lineRule="auto"/>
        <w:ind w:left="567" w:hanging="567"/>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Alkhatib, S. F. S. (2017). Strategic Logistics Outsourcing: Upstream-Downstream Supply Chain Comparison. Journal of Global Operations and Strategic Sourcing, 10(3), 309–333. https://doi.org/10.1108/jgoss-08-2016-0024</w:t>
      </w:r>
    </w:p>
    <w:p w14:paraId="36BC48A0" w14:textId="77777777" w:rsidR="00BD0703" w:rsidRPr="00FC1136" w:rsidRDefault="00BD0703" w:rsidP="00FC1136">
      <w:pPr>
        <w:spacing w:line="276" w:lineRule="auto"/>
        <w:ind w:left="567" w:hanging="567"/>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 xml:space="preserve">Ardi, A., Ananda, A., </w:t>
      </w:r>
      <w:proofErr w:type="spellStart"/>
      <w:r w:rsidRPr="00FC1136">
        <w:rPr>
          <w:rFonts w:ascii="Garamond" w:eastAsia="Garamond" w:hAnsi="Garamond" w:cs="Garamond"/>
          <w:color w:val="000000"/>
          <w:sz w:val="24"/>
          <w:szCs w:val="24"/>
        </w:rPr>
        <w:t>Rusdinal</w:t>
      </w:r>
      <w:proofErr w:type="spellEnd"/>
      <w:r w:rsidRPr="00FC1136">
        <w:rPr>
          <w:rFonts w:ascii="Garamond" w:eastAsia="Garamond" w:hAnsi="Garamond" w:cs="Garamond"/>
          <w:color w:val="000000"/>
          <w:sz w:val="24"/>
          <w:szCs w:val="24"/>
        </w:rPr>
        <w:t xml:space="preserve">, R., </w:t>
      </w:r>
      <w:proofErr w:type="spellStart"/>
      <w:r w:rsidRPr="00FC1136">
        <w:rPr>
          <w:rFonts w:ascii="Garamond" w:eastAsia="Garamond" w:hAnsi="Garamond" w:cs="Garamond"/>
          <w:color w:val="000000"/>
          <w:sz w:val="24"/>
          <w:szCs w:val="24"/>
        </w:rPr>
        <w:t>Giastituati</w:t>
      </w:r>
      <w:proofErr w:type="spellEnd"/>
      <w:r w:rsidRPr="00FC1136">
        <w:rPr>
          <w:rFonts w:ascii="Garamond" w:eastAsia="Garamond" w:hAnsi="Garamond" w:cs="Garamond"/>
          <w:color w:val="000000"/>
          <w:sz w:val="24"/>
          <w:szCs w:val="24"/>
        </w:rPr>
        <w:t xml:space="preserve">, N., &amp; </w:t>
      </w:r>
      <w:proofErr w:type="spellStart"/>
      <w:r w:rsidRPr="00FC1136">
        <w:rPr>
          <w:rFonts w:ascii="Garamond" w:eastAsia="Garamond" w:hAnsi="Garamond" w:cs="Garamond"/>
          <w:color w:val="000000"/>
          <w:sz w:val="24"/>
          <w:szCs w:val="24"/>
        </w:rPr>
        <w:t>Hervi</w:t>
      </w:r>
      <w:proofErr w:type="spellEnd"/>
      <w:r w:rsidRPr="00FC1136">
        <w:rPr>
          <w:rFonts w:ascii="Garamond" w:eastAsia="Garamond" w:hAnsi="Garamond" w:cs="Garamond"/>
          <w:color w:val="000000"/>
          <w:sz w:val="24"/>
          <w:szCs w:val="24"/>
        </w:rPr>
        <w:t xml:space="preserve">, F. (2024). A Comparison of Science Education Between Germany, China and Indonesia. </w:t>
      </w:r>
      <w:proofErr w:type="spellStart"/>
      <w:r w:rsidRPr="00FC1136">
        <w:rPr>
          <w:rFonts w:ascii="Garamond" w:eastAsia="Garamond" w:hAnsi="Garamond" w:cs="Garamond"/>
          <w:color w:val="000000"/>
          <w:sz w:val="24"/>
          <w:szCs w:val="24"/>
        </w:rPr>
        <w:t>Jurnal</w:t>
      </w:r>
      <w:proofErr w:type="spellEnd"/>
      <w:r w:rsidRPr="00FC1136">
        <w:rPr>
          <w:rFonts w:ascii="Garamond" w:eastAsia="Garamond" w:hAnsi="Garamond" w:cs="Garamond"/>
          <w:color w:val="000000"/>
          <w:sz w:val="24"/>
          <w:szCs w:val="24"/>
        </w:rPr>
        <w:t xml:space="preserve"> </w:t>
      </w:r>
      <w:proofErr w:type="spellStart"/>
      <w:r w:rsidRPr="00FC1136">
        <w:rPr>
          <w:rFonts w:ascii="Garamond" w:eastAsia="Garamond" w:hAnsi="Garamond" w:cs="Garamond"/>
          <w:color w:val="000000"/>
          <w:sz w:val="24"/>
          <w:szCs w:val="24"/>
        </w:rPr>
        <w:t>Eksakta</w:t>
      </w:r>
      <w:proofErr w:type="spellEnd"/>
      <w:r w:rsidRPr="00FC1136">
        <w:rPr>
          <w:rFonts w:ascii="Garamond" w:eastAsia="Garamond" w:hAnsi="Garamond" w:cs="Garamond"/>
          <w:color w:val="000000"/>
          <w:sz w:val="24"/>
          <w:szCs w:val="24"/>
        </w:rPr>
        <w:t xml:space="preserve"> Pendidikan (Jep), 8(1), 73–85. https://doi.org/10.24036/jep/vol8-iss1/806</w:t>
      </w:r>
    </w:p>
    <w:p w14:paraId="703AFC30" w14:textId="77777777" w:rsidR="00BD0703" w:rsidRPr="00FC1136" w:rsidRDefault="00BD0703" w:rsidP="00FC1136">
      <w:pPr>
        <w:spacing w:line="276" w:lineRule="auto"/>
        <w:ind w:left="567" w:hanging="567"/>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 xml:space="preserve">Asian, S., Pool, J. K., </w:t>
      </w:r>
      <w:proofErr w:type="spellStart"/>
      <w:r w:rsidRPr="00FC1136">
        <w:rPr>
          <w:rFonts w:ascii="Garamond" w:eastAsia="Garamond" w:hAnsi="Garamond" w:cs="Garamond"/>
          <w:color w:val="000000"/>
          <w:sz w:val="24"/>
          <w:szCs w:val="24"/>
        </w:rPr>
        <w:t>Nazarpour</w:t>
      </w:r>
      <w:proofErr w:type="spellEnd"/>
      <w:r w:rsidRPr="00FC1136">
        <w:rPr>
          <w:rFonts w:ascii="Garamond" w:eastAsia="Garamond" w:hAnsi="Garamond" w:cs="Garamond"/>
          <w:color w:val="000000"/>
          <w:sz w:val="24"/>
          <w:szCs w:val="24"/>
        </w:rPr>
        <w:t xml:space="preserve">, A., &amp; </w:t>
      </w:r>
      <w:proofErr w:type="spellStart"/>
      <w:r w:rsidRPr="00FC1136">
        <w:rPr>
          <w:rFonts w:ascii="Garamond" w:eastAsia="Garamond" w:hAnsi="Garamond" w:cs="Garamond"/>
          <w:color w:val="000000"/>
          <w:sz w:val="24"/>
          <w:szCs w:val="24"/>
        </w:rPr>
        <w:t>Tabaeeian</w:t>
      </w:r>
      <w:proofErr w:type="spellEnd"/>
      <w:r w:rsidRPr="00FC1136">
        <w:rPr>
          <w:rFonts w:ascii="Garamond" w:eastAsia="Garamond" w:hAnsi="Garamond" w:cs="Garamond"/>
          <w:color w:val="000000"/>
          <w:sz w:val="24"/>
          <w:szCs w:val="24"/>
        </w:rPr>
        <w:t>, R. A. (2019). On the Importance of Service Performance and Customer Satisfaction in Third-Party Logistics Selection. Benchmarking an International Journal, 26(5), 1550–1564. https://doi.org/10.1108/bij-05-2018-0121</w:t>
      </w:r>
    </w:p>
    <w:p w14:paraId="21E9A404" w14:textId="77777777" w:rsidR="00BD0703" w:rsidRPr="00FC1136" w:rsidRDefault="00BD0703" w:rsidP="00FC1136">
      <w:pPr>
        <w:spacing w:line="276" w:lineRule="auto"/>
        <w:ind w:left="567" w:hanging="567"/>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 xml:space="preserve">Baglio, M., Creazza, A., &amp; </w:t>
      </w:r>
      <w:proofErr w:type="spellStart"/>
      <w:r w:rsidRPr="00FC1136">
        <w:rPr>
          <w:rFonts w:ascii="Garamond" w:eastAsia="Garamond" w:hAnsi="Garamond" w:cs="Garamond"/>
          <w:color w:val="000000"/>
          <w:sz w:val="24"/>
          <w:szCs w:val="24"/>
        </w:rPr>
        <w:t>Dallari</w:t>
      </w:r>
      <w:proofErr w:type="spellEnd"/>
      <w:r w:rsidRPr="00FC1136">
        <w:rPr>
          <w:rFonts w:ascii="Garamond" w:eastAsia="Garamond" w:hAnsi="Garamond" w:cs="Garamond"/>
          <w:color w:val="000000"/>
          <w:sz w:val="24"/>
          <w:szCs w:val="24"/>
        </w:rPr>
        <w:t>, F. (2023). The “Perfect” Warehouse: How Third-Party Logistics Providers Evaluate Warehouse Features and Their Performance. Applied Sciences, 13(12), 6862. https://doi.org/10.3390/app13126862</w:t>
      </w:r>
    </w:p>
    <w:p w14:paraId="1B45FA8F" w14:textId="77777777" w:rsidR="00BD0703" w:rsidRPr="00FC1136" w:rsidRDefault="00BD0703" w:rsidP="00FC1136">
      <w:pPr>
        <w:spacing w:line="276" w:lineRule="auto"/>
        <w:ind w:left="567" w:hanging="567"/>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Baidoo-Baiden, S. A. (2022). 3PL Relationship Management Practices as a Cost Reduction Tool in the Supply Chain: A Case of Stellar Logistics. American Journal of Supply Chain Management, 7(1), 1–18. https://doi.org/10.47672/ajscm.1175</w:t>
      </w:r>
    </w:p>
    <w:p w14:paraId="66A9EFE7" w14:textId="77777777" w:rsidR="00BD0703" w:rsidRPr="00FC1136" w:rsidRDefault="00BD0703" w:rsidP="00FC1136">
      <w:pPr>
        <w:spacing w:line="276" w:lineRule="auto"/>
        <w:ind w:left="567" w:hanging="567"/>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 xml:space="preserve">Bajec, P., &amp; </w:t>
      </w:r>
      <w:proofErr w:type="spellStart"/>
      <w:r w:rsidRPr="00FC1136">
        <w:rPr>
          <w:rFonts w:ascii="Garamond" w:eastAsia="Garamond" w:hAnsi="Garamond" w:cs="Garamond"/>
          <w:color w:val="000000"/>
          <w:sz w:val="24"/>
          <w:szCs w:val="24"/>
        </w:rPr>
        <w:t>Tuljak</w:t>
      </w:r>
      <w:proofErr w:type="spellEnd"/>
      <w:r w:rsidRPr="00FC1136">
        <w:rPr>
          <w:rFonts w:ascii="Garamond" w:eastAsia="Garamond" w:hAnsi="Garamond" w:cs="Garamond"/>
          <w:color w:val="000000"/>
          <w:sz w:val="24"/>
          <w:szCs w:val="24"/>
        </w:rPr>
        <w:t>-Suban, D. (2019). An Integrated Analytic Hierarchy Process—Slack Based Measure-Data Envelopment Analysis Model for Evaluating the Efficiency of Logistics Service Providers Considering Undesirable Performance Criteria. Sustainability, 11(8), 2330. https://doi.org/10.3390/su11082330</w:t>
      </w:r>
    </w:p>
    <w:p w14:paraId="2065545A" w14:textId="77777777" w:rsidR="00BD0703" w:rsidRPr="00FC1136" w:rsidRDefault="00BD0703" w:rsidP="00FC1136">
      <w:pPr>
        <w:spacing w:line="276" w:lineRule="auto"/>
        <w:ind w:left="567" w:hanging="567"/>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Baruffaldi, G., Accorsi, R., Manzini, R., &amp; Ferrari, E. (2020). Warehousing Process Performance Improvement: A Tailored Framework for 3PL. Business Process Management Journal, 26(6), 1619–1641. https://doi.org/10.1108/bpmj-03-2019-0120</w:t>
      </w:r>
    </w:p>
    <w:p w14:paraId="6A61B598" w14:textId="77777777" w:rsidR="00BD0703" w:rsidRPr="00FC1136" w:rsidRDefault="00BD0703" w:rsidP="00FC1136">
      <w:pPr>
        <w:spacing w:line="276" w:lineRule="auto"/>
        <w:ind w:left="567" w:hanging="567"/>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lastRenderedPageBreak/>
        <w:t>Chernova, O., Li, L., &amp; Wang, X. (2023). Role of Digitalization of Logistics Outsourcing in Sustainable Development of Automotive Industry in China. R-Economy, 9(2), 123–139. https://doi.org/10.15826/recon.2023.9.2.008</w:t>
      </w:r>
    </w:p>
    <w:p w14:paraId="41806B33" w14:textId="77777777" w:rsidR="00BD0703" w:rsidRPr="00FC1136" w:rsidRDefault="00BD0703" w:rsidP="00FC1136">
      <w:pPr>
        <w:spacing w:line="276" w:lineRule="auto"/>
        <w:ind w:left="567" w:hanging="567"/>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Evangelista, P., Santoro, L., &amp; Thomas, A. (2018). Environmental Sustainability in Third-Party Logistics Service Providers: A Systematic Literature Review From 2000–2016. Sustainability, 10(5), 1627. https://doi.org/10.3390/su10051627</w:t>
      </w:r>
    </w:p>
    <w:p w14:paraId="769D5B57" w14:textId="77777777" w:rsidR="00BD0703" w:rsidRPr="00FC1136" w:rsidRDefault="00BD0703" w:rsidP="00FC1136">
      <w:pPr>
        <w:spacing w:line="276" w:lineRule="auto"/>
        <w:ind w:left="567" w:hanging="567"/>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 xml:space="preserve">Govindan, K., Khodaverdi, R., &amp; </w:t>
      </w:r>
      <w:proofErr w:type="spellStart"/>
      <w:r w:rsidRPr="00FC1136">
        <w:rPr>
          <w:rFonts w:ascii="Garamond" w:eastAsia="Garamond" w:hAnsi="Garamond" w:cs="Garamond"/>
          <w:color w:val="000000"/>
          <w:sz w:val="24"/>
          <w:szCs w:val="24"/>
        </w:rPr>
        <w:t>Vafadarnikjoo</w:t>
      </w:r>
      <w:proofErr w:type="spellEnd"/>
      <w:r w:rsidRPr="00FC1136">
        <w:rPr>
          <w:rFonts w:ascii="Garamond" w:eastAsia="Garamond" w:hAnsi="Garamond" w:cs="Garamond"/>
          <w:color w:val="000000"/>
          <w:sz w:val="24"/>
          <w:szCs w:val="24"/>
        </w:rPr>
        <w:t>, A. (2016). A Grey DEMATEL Approach to Develop Third-Party Logistics Provider Selection Criteria. Industrial Management &amp; Data Systems, 116(4), 690–722. https://doi.org/10.1108/imds-05-2015-0180</w:t>
      </w:r>
    </w:p>
    <w:p w14:paraId="0DC61451" w14:textId="77777777" w:rsidR="00BD0703" w:rsidRPr="00FC1136" w:rsidRDefault="00BD0703" w:rsidP="00FC1136">
      <w:pPr>
        <w:spacing w:line="276" w:lineRule="auto"/>
        <w:ind w:left="567" w:hanging="567"/>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 xml:space="preserve">Haris, E., Saidin, OK., </w:t>
      </w:r>
      <w:proofErr w:type="spellStart"/>
      <w:r w:rsidRPr="00FC1136">
        <w:rPr>
          <w:rFonts w:ascii="Garamond" w:eastAsia="Garamond" w:hAnsi="Garamond" w:cs="Garamond"/>
          <w:color w:val="000000"/>
          <w:sz w:val="24"/>
          <w:szCs w:val="24"/>
        </w:rPr>
        <w:t>Sirait</w:t>
      </w:r>
      <w:proofErr w:type="spellEnd"/>
      <w:r w:rsidRPr="00FC1136">
        <w:rPr>
          <w:rFonts w:ascii="Garamond" w:eastAsia="Garamond" w:hAnsi="Garamond" w:cs="Garamond"/>
          <w:color w:val="000000"/>
          <w:sz w:val="24"/>
          <w:szCs w:val="24"/>
        </w:rPr>
        <w:t>, N. N., &amp; Kaban, M. (2022). Strengthening National Logistic Ecosystem to Increase Indonesia Competitiveness in International Trade. https://doi.org/10.2991/assehr.k.220204.038</w:t>
      </w:r>
    </w:p>
    <w:p w14:paraId="030616B6" w14:textId="77777777" w:rsidR="00BD0703" w:rsidRPr="00FC1136" w:rsidRDefault="00BD0703" w:rsidP="00FC1136">
      <w:pPr>
        <w:spacing w:line="276" w:lineRule="auto"/>
        <w:ind w:left="567" w:hanging="567"/>
        <w:jc w:val="both"/>
        <w:rPr>
          <w:rFonts w:ascii="Garamond" w:eastAsia="Garamond" w:hAnsi="Garamond" w:cs="Garamond"/>
          <w:color w:val="000000"/>
          <w:sz w:val="24"/>
          <w:szCs w:val="24"/>
        </w:rPr>
      </w:pPr>
      <w:proofErr w:type="spellStart"/>
      <w:r w:rsidRPr="00FC1136">
        <w:rPr>
          <w:rFonts w:ascii="Garamond" w:eastAsia="Garamond" w:hAnsi="Garamond" w:cs="Garamond"/>
          <w:color w:val="000000"/>
          <w:sz w:val="24"/>
          <w:szCs w:val="24"/>
        </w:rPr>
        <w:t>Hidayati</w:t>
      </w:r>
      <w:proofErr w:type="spellEnd"/>
      <w:r w:rsidRPr="00FC1136">
        <w:rPr>
          <w:rFonts w:ascii="Garamond" w:eastAsia="Garamond" w:hAnsi="Garamond" w:cs="Garamond"/>
          <w:color w:val="000000"/>
          <w:sz w:val="24"/>
          <w:szCs w:val="24"/>
        </w:rPr>
        <w:t xml:space="preserve">, F., &amp; </w:t>
      </w:r>
      <w:proofErr w:type="spellStart"/>
      <w:r w:rsidRPr="00FC1136">
        <w:rPr>
          <w:rFonts w:ascii="Garamond" w:eastAsia="Garamond" w:hAnsi="Garamond" w:cs="Garamond"/>
          <w:color w:val="000000"/>
          <w:sz w:val="24"/>
          <w:szCs w:val="24"/>
        </w:rPr>
        <w:t>Pheungpha</w:t>
      </w:r>
      <w:proofErr w:type="spellEnd"/>
      <w:r w:rsidRPr="00FC1136">
        <w:rPr>
          <w:rFonts w:ascii="Garamond" w:eastAsia="Garamond" w:hAnsi="Garamond" w:cs="Garamond"/>
          <w:color w:val="000000"/>
          <w:sz w:val="24"/>
          <w:szCs w:val="24"/>
        </w:rPr>
        <w:t>, N. (2023). Should Network Governance Shape the Collaboration? A Case in Indonesia’s Palm Oil Industry. 239–248. https://doi.org/10.2991/978-2-38476-082-4_23</w:t>
      </w:r>
    </w:p>
    <w:p w14:paraId="1BA1E8D6" w14:textId="77777777" w:rsidR="00BD0703" w:rsidRPr="00FC1136" w:rsidRDefault="00BD0703" w:rsidP="00FC1136">
      <w:pPr>
        <w:spacing w:line="276" w:lineRule="auto"/>
        <w:ind w:left="567" w:hanging="567"/>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 xml:space="preserve">Iskandar, T., &amp; Arifin, R. (2023). Navigating Indonesia’s Logistics and Supply Chain Challenges: A Data-Driven Analysis of Logistics Performance Index. </w:t>
      </w:r>
      <w:proofErr w:type="spellStart"/>
      <w:r w:rsidRPr="00FC1136">
        <w:rPr>
          <w:rFonts w:ascii="Garamond" w:eastAsia="Garamond" w:hAnsi="Garamond" w:cs="Garamond"/>
          <w:color w:val="000000"/>
          <w:sz w:val="24"/>
          <w:szCs w:val="24"/>
        </w:rPr>
        <w:t>Jurnal</w:t>
      </w:r>
      <w:proofErr w:type="spellEnd"/>
      <w:r w:rsidRPr="00FC1136">
        <w:rPr>
          <w:rFonts w:ascii="Garamond" w:eastAsia="Garamond" w:hAnsi="Garamond" w:cs="Garamond"/>
          <w:color w:val="000000"/>
          <w:sz w:val="24"/>
          <w:szCs w:val="24"/>
        </w:rPr>
        <w:t xml:space="preserve"> BPPK Badan Pendidikan Dan Pelatihan Keuangan, 16(1), 110–123. https://doi.org/10.48108/jurnalbppk.v16i1.820</w:t>
      </w:r>
    </w:p>
    <w:p w14:paraId="2D6E0D5F" w14:textId="77777777" w:rsidR="00BD0703" w:rsidRPr="00FC1136" w:rsidRDefault="00BD0703" w:rsidP="00FC1136">
      <w:pPr>
        <w:spacing w:line="276" w:lineRule="auto"/>
        <w:ind w:left="567" w:hanging="567"/>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 xml:space="preserve">Kaur, K. (2021). Business Intelligence on Supply Chain Responsiveness and Agile Performance: Empirical Evidence </w:t>
      </w:r>
      <w:proofErr w:type="gramStart"/>
      <w:r w:rsidRPr="00FC1136">
        <w:rPr>
          <w:rFonts w:ascii="Garamond" w:eastAsia="Garamond" w:hAnsi="Garamond" w:cs="Garamond"/>
          <w:color w:val="000000"/>
          <w:sz w:val="24"/>
          <w:szCs w:val="24"/>
        </w:rPr>
        <w:t>From</w:t>
      </w:r>
      <w:proofErr w:type="gramEnd"/>
      <w:r w:rsidRPr="00FC1136">
        <w:rPr>
          <w:rFonts w:ascii="Garamond" w:eastAsia="Garamond" w:hAnsi="Garamond" w:cs="Garamond"/>
          <w:color w:val="000000"/>
          <w:sz w:val="24"/>
          <w:szCs w:val="24"/>
        </w:rPr>
        <w:t xml:space="preserve"> Malaysian Logistics Industry. International Journal of Supply Chain Management, 6(2), 31–63. https://doi.org/10.47604/ijscm.1351</w:t>
      </w:r>
    </w:p>
    <w:p w14:paraId="7203C5C2" w14:textId="77777777" w:rsidR="00BD0703" w:rsidRPr="00FC1136" w:rsidRDefault="00BD0703" w:rsidP="00FC1136">
      <w:pPr>
        <w:spacing w:line="276" w:lineRule="auto"/>
        <w:ind w:left="567" w:hanging="567"/>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Langkamp, D. L., Barnes, A. J., &amp; Zuckerman, K. E. (2021). Secondary Analysis of Existing Data Sets for Developmental Behavioral Pediatrics. Journal of Developmental &amp; Behavioral Pediatrics, 42(4), 322–330. https://doi.org/10.1097/dbp.0000000000000915</w:t>
      </w:r>
    </w:p>
    <w:p w14:paraId="15C691EC" w14:textId="77777777" w:rsidR="00BD0703" w:rsidRPr="00FC1136" w:rsidRDefault="00BD0703" w:rsidP="00FC1136">
      <w:pPr>
        <w:spacing w:line="276" w:lineRule="auto"/>
        <w:ind w:left="567" w:hanging="567"/>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Mageto, J., Prinsloo, G., &amp; Luke, R. (2018). The Extent of Logistics Outsourcing Among Small and Medium-Sized Manufacturing Enterprises in Nairobi. Journal of Transport and Supply Chain Management, 12. https://doi.org/10.4102/jtscm.v12i0.346</w:t>
      </w:r>
    </w:p>
    <w:p w14:paraId="7DD8DAAE" w14:textId="77777777" w:rsidR="00BD0703" w:rsidRPr="00FC1136" w:rsidRDefault="00BD0703" w:rsidP="00FC1136">
      <w:pPr>
        <w:spacing w:line="276" w:lineRule="auto"/>
        <w:ind w:left="567" w:hanging="567"/>
        <w:jc w:val="both"/>
        <w:rPr>
          <w:rFonts w:ascii="Garamond" w:eastAsia="Garamond" w:hAnsi="Garamond" w:cs="Garamond"/>
          <w:color w:val="000000"/>
          <w:sz w:val="24"/>
          <w:szCs w:val="24"/>
        </w:rPr>
      </w:pPr>
      <w:proofErr w:type="spellStart"/>
      <w:r w:rsidRPr="00FC1136">
        <w:rPr>
          <w:rFonts w:ascii="Garamond" w:eastAsia="Garamond" w:hAnsi="Garamond" w:cs="Garamond"/>
          <w:color w:val="000000"/>
          <w:sz w:val="24"/>
          <w:szCs w:val="24"/>
        </w:rPr>
        <w:t>Moeis</w:t>
      </w:r>
      <w:proofErr w:type="spellEnd"/>
      <w:r w:rsidRPr="00FC1136">
        <w:rPr>
          <w:rFonts w:ascii="Garamond" w:eastAsia="Garamond" w:hAnsi="Garamond" w:cs="Garamond"/>
          <w:color w:val="000000"/>
          <w:sz w:val="24"/>
          <w:szCs w:val="24"/>
        </w:rPr>
        <w:t xml:space="preserve">, A. O., </w:t>
      </w:r>
      <w:proofErr w:type="spellStart"/>
      <w:r w:rsidRPr="00FC1136">
        <w:rPr>
          <w:rFonts w:ascii="Garamond" w:eastAsia="Garamond" w:hAnsi="Garamond" w:cs="Garamond"/>
          <w:color w:val="000000"/>
          <w:sz w:val="24"/>
          <w:szCs w:val="24"/>
        </w:rPr>
        <w:t>Zagloel</w:t>
      </w:r>
      <w:proofErr w:type="spellEnd"/>
      <w:r w:rsidRPr="00FC1136">
        <w:rPr>
          <w:rFonts w:ascii="Garamond" w:eastAsia="Garamond" w:hAnsi="Garamond" w:cs="Garamond"/>
          <w:color w:val="000000"/>
          <w:sz w:val="24"/>
          <w:szCs w:val="24"/>
        </w:rPr>
        <w:t xml:space="preserve">, T. Y. M., Hidayatno, A., </w:t>
      </w:r>
      <w:proofErr w:type="spellStart"/>
      <w:r w:rsidRPr="00FC1136">
        <w:rPr>
          <w:rFonts w:ascii="Garamond" w:eastAsia="Garamond" w:hAnsi="Garamond" w:cs="Garamond"/>
          <w:color w:val="000000"/>
          <w:sz w:val="24"/>
          <w:szCs w:val="24"/>
        </w:rPr>
        <w:t>Komarudin</w:t>
      </w:r>
      <w:proofErr w:type="spellEnd"/>
      <w:r w:rsidRPr="00FC1136">
        <w:rPr>
          <w:rFonts w:ascii="Garamond" w:eastAsia="Garamond" w:hAnsi="Garamond" w:cs="Garamond"/>
          <w:color w:val="000000"/>
          <w:sz w:val="24"/>
          <w:szCs w:val="24"/>
        </w:rPr>
        <w:t xml:space="preserve">, K., &amp; Guo, S. (2017). Designing Indonesian Liner Shipping Network. </w:t>
      </w:r>
      <w:proofErr w:type="spellStart"/>
      <w:r w:rsidRPr="00FC1136">
        <w:rPr>
          <w:rFonts w:ascii="Garamond" w:eastAsia="Garamond" w:hAnsi="Garamond" w:cs="Garamond"/>
          <w:color w:val="000000"/>
          <w:sz w:val="24"/>
          <w:szCs w:val="24"/>
        </w:rPr>
        <w:t>Jurnal</w:t>
      </w:r>
      <w:proofErr w:type="spellEnd"/>
      <w:r w:rsidRPr="00FC1136">
        <w:rPr>
          <w:rFonts w:ascii="Garamond" w:eastAsia="Garamond" w:hAnsi="Garamond" w:cs="Garamond"/>
          <w:color w:val="000000"/>
          <w:sz w:val="24"/>
          <w:szCs w:val="24"/>
        </w:rPr>
        <w:t xml:space="preserve"> Teknik Industri, 19(1), 47–54. https://doi.org/10.9744/jti.19.1.47-54</w:t>
      </w:r>
    </w:p>
    <w:p w14:paraId="034A3E26" w14:textId="77777777" w:rsidR="00BD0703" w:rsidRPr="00FC1136" w:rsidRDefault="00BD0703" w:rsidP="00FC1136">
      <w:pPr>
        <w:spacing w:line="276" w:lineRule="auto"/>
        <w:ind w:left="567" w:hanging="567"/>
        <w:jc w:val="both"/>
        <w:rPr>
          <w:rFonts w:ascii="Garamond" w:eastAsia="Garamond" w:hAnsi="Garamond" w:cs="Garamond"/>
          <w:color w:val="000000"/>
          <w:sz w:val="24"/>
          <w:szCs w:val="24"/>
        </w:rPr>
      </w:pPr>
      <w:proofErr w:type="spellStart"/>
      <w:r w:rsidRPr="00FC1136">
        <w:rPr>
          <w:rFonts w:ascii="Garamond" w:eastAsia="Garamond" w:hAnsi="Garamond" w:cs="Garamond"/>
          <w:color w:val="000000"/>
          <w:sz w:val="24"/>
          <w:szCs w:val="24"/>
        </w:rPr>
        <w:t>Nursyifa</w:t>
      </w:r>
      <w:proofErr w:type="spellEnd"/>
      <w:r w:rsidRPr="00FC1136">
        <w:rPr>
          <w:rFonts w:ascii="Garamond" w:eastAsia="Garamond" w:hAnsi="Garamond" w:cs="Garamond"/>
          <w:color w:val="000000"/>
          <w:sz w:val="24"/>
          <w:szCs w:val="24"/>
        </w:rPr>
        <w:t>, N. (2023). Strategies to Improve Logistics Cost Efficiency in Indonesia. J. Log. &amp; SC., 3(1), 23–34. https://doi.org/10.17509/jlsc.v3i1.62207</w:t>
      </w:r>
    </w:p>
    <w:p w14:paraId="523EF1E0" w14:textId="77777777" w:rsidR="00BD0703" w:rsidRPr="00FC1136" w:rsidRDefault="00BD0703" w:rsidP="00FC1136">
      <w:pPr>
        <w:spacing w:line="276" w:lineRule="auto"/>
        <w:ind w:left="567" w:hanging="567"/>
        <w:jc w:val="both"/>
        <w:rPr>
          <w:rFonts w:ascii="Garamond" w:eastAsia="Garamond" w:hAnsi="Garamond" w:cs="Garamond"/>
          <w:color w:val="000000"/>
          <w:sz w:val="24"/>
          <w:szCs w:val="24"/>
        </w:rPr>
      </w:pPr>
      <w:proofErr w:type="spellStart"/>
      <w:r w:rsidRPr="00FC1136">
        <w:rPr>
          <w:rFonts w:ascii="Garamond" w:eastAsia="Garamond" w:hAnsi="Garamond" w:cs="Garamond"/>
          <w:color w:val="000000"/>
          <w:sz w:val="24"/>
          <w:szCs w:val="24"/>
        </w:rPr>
        <w:t>Nyameboame</w:t>
      </w:r>
      <w:proofErr w:type="spellEnd"/>
      <w:r w:rsidRPr="00FC1136">
        <w:rPr>
          <w:rFonts w:ascii="Garamond" w:eastAsia="Garamond" w:hAnsi="Garamond" w:cs="Garamond"/>
          <w:color w:val="000000"/>
          <w:sz w:val="24"/>
          <w:szCs w:val="24"/>
        </w:rPr>
        <w:t xml:space="preserve">, J., &amp; </w:t>
      </w:r>
      <w:proofErr w:type="spellStart"/>
      <w:r w:rsidRPr="00FC1136">
        <w:rPr>
          <w:rFonts w:ascii="Garamond" w:eastAsia="Garamond" w:hAnsi="Garamond" w:cs="Garamond"/>
          <w:color w:val="000000"/>
          <w:sz w:val="24"/>
          <w:szCs w:val="24"/>
        </w:rPr>
        <w:t>Haddud</w:t>
      </w:r>
      <w:proofErr w:type="spellEnd"/>
      <w:r w:rsidRPr="00FC1136">
        <w:rPr>
          <w:rFonts w:ascii="Garamond" w:eastAsia="Garamond" w:hAnsi="Garamond" w:cs="Garamond"/>
          <w:color w:val="000000"/>
          <w:sz w:val="24"/>
          <w:szCs w:val="24"/>
        </w:rPr>
        <w:t>, A. (2017). Exploring the Impact of Outsourcing on Organizational Performance. Journal of Global Operations and Strategic Sourcing, 10(3), 362–387. https://doi.org/10.1108/jgoss-01-2017-0001</w:t>
      </w:r>
    </w:p>
    <w:p w14:paraId="53D1EF73" w14:textId="77777777" w:rsidR="00BD0703" w:rsidRPr="00FC1136" w:rsidRDefault="00BD0703" w:rsidP="00FC1136">
      <w:pPr>
        <w:spacing w:line="276" w:lineRule="auto"/>
        <w:ind w:left="567" w:hanging="567"/>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O’Connor, S. (2020). Secondary Data Analysis in Nursing Research: A Contemporary Discussion. Clinical Nursing Research, 29(5), 279–284. https://doi.org/10.1177/1054773820927144</w:t>
      </w:r>
    </w:p>
    <w:p w14:paraId="37DBEDCA" w14:textId="77777777" w:rsidR="00BD0703" w:rsidRPr="00FC1136" w:rsidRDefault="00BD0703" w:rsidP="00FC1136">
      <w:pPr>
        <w:spacing w:line="276" w:lineRule="auto"/>
        <w:ind w:left="567" w:hanging="567"/>
        <w:jc w:val="both"/>
        <w:rPr>
          <w:rFonts w:ascii="Garamond" w:eastAsia="Garamond" w:hAnsi="Garamond" w:cs="Garamond"/>
          <w:color w:val="000000"/>
          <w:sz w:val="24"/>
          <w:szCs w:val="24"/>
        </w:rPr>
      </w:pPr>
      <w:proofErr w:type="spellStart"/>
      <w:r w:rsidRPr="00FC1136">
        <w:rPr>
          <w:rFonts w:ascii="Garamond" w:eastAsia="Garamond" w:hAnsi="Garamond" w:cs="Garamond"/>
          <w:color w:val="000000"/>
          <w:sz w:val="24"/>
          <w:szCs w:val="24"/>
        </w:rPr>
        <w:lastRenderedPageBreak/>
        <w:t>Pradita</w:t>
      </w:r>
      <w:proofErr w:type="spellEnd"/>
      <w:r w:rsidRPr="00FC1136">
        <w:rPr>
          <w:rFonts w:ascii="Garamond" w:eastAsia="Garamond" w:hAnsi="Garamond" w:cs="Garamond"/>
          <w:color w:val="000000"/>
          <w:sz w:val="24"/>
          <w:szCs w:val="24"/>
        </w:rPr>
        <w:t xml:space="preserve">, S. P., </w:t>
      </w:r>
      <w:proofErr w:type="spellStart"/>
      <w:r w:rsidRPr="00FC1136">
        <w:rPr>
          <w:rFonts w:ascii="Garamond" w:eastAsia="Garamond" w:hAnsi="Garamond" w:cs="Garamond"/>
          <w:color w:val="000000"/>
          <w:sz w:val="24"/>
          <w:szCs w:val="24"/>
        </w:rPr>
        <w:t>Ongkunaruk</w:t>
      </w:r>
      <w:proofErr w:type="spellEnd"/>
      <w:r w:rsidRPr="00FC1136">
        <w:rPr>
          <w:rFonts w:ascii="Garamond" w:eastAsia="Garamond" w:hAnsi="Garamond" w:cs="Garamond"/>
          <w:color w:val="000000"/>
          <w:sz w:val="24"/>
          <w:szCs w:val="24"/>
        </w:rPr>
        <w:t xml:space="preserve">, P., &amp; </w:t>
      </w:r>
      <w:proofErr w:type="spellStart"/>
      <w:r w:rsidRPr="00FC1136">
        <w:rPr>
          <w:rFonts w:ascii="Garamond" w:eastAsia="Garamond" w:hAnsi="Garamond" w:cs="Garamond"/>
          <w:color w:val="000000"/>
          <w:sz w:val="24"/>
          <w:szCs w:val="24"/>
        </w:rPr>
        <w:t>Leingpibul</w:t>
      </w:r>
      <w:proofErr w:type="spellEnd"/>
      <w:r w:rsidRPr="00FC1136">
        <w:rPr>
          <w:rFonts w:ascii="Garamond" w:eastAsia="Garamond" w:hAnsi="Garamond" w:cs="Garamond"/>
          <w:color w:val="000000"/>
          <w:sz w:val="24"/>
          <w:szCs w:val="24"/>
        </w:rPr>
        <w:t xml:space="preserve">, T. (2020). The Use of Supply Chain Risk Management Process (SCRMP) in Third-Party Logistics Industry: A Case Study in Indonesia. Industria </w:t>
      </w:r>
      <w:proofErr w:type="spellStart"/>
      <w:r w:rsidRPr="00FC1136">
        <w:rPr>
          <w:rFonts w:ascii="Garamond" w:eastAsia="Garamond" w:hAnsi="Garamond" w:cs="Garamond"/>
          <w:color w:val="000000"/>
          <w:sz w:val="24"/>
          <w:szCs w:val="24"/>
        </w:rPr>
        <w:t>Jurnal</w:t>
      </w:r>
      <w:proofErr w:type="spellEnd"/>
      <w:r w:rsidRPr="00FC1136">
        <w:rPr>
          <w:rFonts w:ascii="Garamond" w:eastAsia="Garamond" w:hAnsi="Garamond" w:cs="Garamond"/>
          <w:color w:val="000000"/>
          <w:sz w:val="24"/>
          <w:szCs w:val="24"/>
        </w:rPr>
        <w:t xml:space="preserve"> </w:t>
      </w:r>
      <w:proofErr w:type="spellStart"/>
      <w:r w:rsidRPr="00FC1136">
        <w:rPr>
          <w:rFonts w:ascii="Garamond" w:eastAsia="Garamond" w:hAnsi="Garamond" w:cs="Garamond"/>
          <w:color w:val="000000"/>
          <w:sz w:val="24"/>
          <w:szCs w:val="24"/>
        </w:rPr>
        <w:t>Teknologi</w:t>
      </w:r>
      <w:proofErr w:type="spellEnd"/>
      <w:r w:rsidRPr="00FC1136">
        <w:rPr>
          <w:rFonts w:ascii="Garamond" w:eastAsia="Garamond" w:hAnsi="Garamond" w:cs="Garamond"/>
          <w:color w:val="000000"/>
          <w:sz w:val="24"/>
          <w:szCs w:val="24"/>
        </w:rPr>
        <w:t xml:space="preserve"> Dan </w:t>
      </w:r>
      <w:proofErr w:type="spellStart"/>
      <w:r w:rsidRPr="00FC1136">
        <w:rPr>
          <w:rFonts w:ascii="Garamond" w:eastAsia="Garamond" w:hAnsi="Garamond" w:cs="Garamond"/>
          <w:color w:val="000000"/>
          <w:sz w:val="24"/>
          <w:szCs w:val="24"/>
        </w:rPr>
        <w:t>Manajemen</w:t>
      </w:r>
      <w:proofErr w:type="spellEnd"/>
      <w:r w:rsidRPr="00FC1136">
        <w:rPr>
          <w:rFonts w:ascii="Garamond" w:eastAsia="Garamond" w:hAnsi="Garamond" w:cs="Garamond"/>
          <w:color w:val="000000"/>
          <w:sz w:val="24"/>
          <w:szCs w:val="24"/>
        </w:rPr>
        <w:t xml:space="preserve"> Agroindustri, 9(1), 1–10. https://doi.org/10.21776/ub.industria.2020.009.01.1</w:t>
      </w:r>
    </w:p>
    <w:p w14:paraId="0B3E1E26" w14:textId="77777777" w:rsidR="00BD0703" w:rsidRPr="00FC1136" w:rsidRDefault="00BD0703" w:rsidP="00FC1136">
      <w:pPr>
        <w:spacing w:line="276" w:lineRule="auto"/>
        <w:ind w:left="567" w:hanging="567"/>
        <w:jc w:val="both"/>
        <w:rPr>
          <w:rFonts w:ascii="Garamond" w:eastAsia="Garamond" w:hAnsi="Garamond" w:cs="Garamond"/>
          <w:color w:val="000000"/>
          <w:sz w:val="24"/>
          <w:szCs w:val="24"/>
        </w:rPr>
      </w:pPr>
      <w:proofErr w:type="spellStart"/>
      <w:r w:rsidRPr="00FC1136">
        <w:rPr>
          <w:rFonts w:ascii="Garamond" w:eastAsia="Garamond" w:hAnsi="Garamond" w:cs="Garamond"/>
          <w:color w:val="000000"/>
          <w:sz w:val="24"/>
          <w:szCs w:val="24"/>
        </w:rPr>
        <w:t>Prataviera</w:t>
      </w:r>
      <w:proofErr w:type="spellEnd"/>
      <w:r w:rsidRPr="00FC1136">
        <w:rPr>
          <w:rFonts w:ascii="Garamond" w:eastAsia="Garamond" w:hAnsi="Garamond" w:cs="Garamond"/>
          <w:color w:val="000000"/>
          <w:sz w:val="24"/>
          <w:szCs w:val="24"/>
        </w:rPr>
        <w:t>, L. B., Tappia, E., Perotti, S., &amp; Perego, A. (2021). Estimating the National Logistics Outsourcing Market Size: A Multi-Method Approach and an Application to the Italian Context. International Journal of Physical Distribution &amp; Logistics Management, 51(7), 764–784. https://doi.org/10.1108/ijpdlm-07-2020-0243</w:t>
      </w:r>
    </w:p>
    <w:p w14:paraId="69176162" w14:textId="77777777" w:rsidR="00BD0703" w:rsidRPr="00FC1136" w:rsidRDefault="00BD0703" w:rsidP="00FC1136">
      <w:pPr>
        <w:spacing w:line="276" w:lineRule="auto"/>
        <w:ind w:left="567" w:hanging="567"/>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 xml:space="preserve">Reza, S., Mubarik, M. S., </w:t>
      </w:r>
      <w:proofErr w:type="spellStart"/>
      <w:r w:rsidRPr="00FC1136">
        <w:rPr>
          <w:rFonts w:ascii="Garamond" w:eastAsia="Garamond" w:hAnsi="Garamond" w:cs="Garamond"/>
          <w:color w:val="000000"/>
          <w:sz w:val="24"/>
          <w:szCs w:val="24"/>
        </w:rPr>
        <w:t>Naghavi</w:t>
      </w:r>
      <w:proofErr w:type="spellEnd"/>
      <w:r w:rsidRPr="00FC1136">
        <w:rPr>
          <w:rFonts w:ascii="Garamond" w:eastAsia="Garamond" w:hAnsi="Garamond" w:cs="Garamond"/>
          <w:color w:val="000000"/>
          <w:sz w:val="24"/>
          <w:szCs w:val="24"/>
        </w:rPr>
        <w:t xml:space="preserve">, N., &amp; Nawaz, R. R. (2020). Relationship Marketing and Third-Party Logistics: Evidence </w:t>
      </w:r>
      <w:proofErr w:type="gramStart"/>
      <w:r w:rsidRPr="00FC1136">
        <w:rPr>
          <w:rFonts w:ascii="Garamond" w:eastAsia="Garamond" w:hAnsi="Garamond" w:cs="Garamond"/>
          <w:color w:val="000000"/>
          <w:sz w:val="24"/>
          <w:szCs w:val="24"/>
        </w:rPr>
        <w:t>From</w:t>
      </w:r>
      <w:proofErr w:type="gramEnd"/>
      <w:r w:rsidRPr="00FC1136">
        <w:rPr>
          <w:rFonts w:ascii="Garamond" w:eastAsia="Garamond" w:hAnsi="Garamond" w:cs="Garamond"/>
          <w:color w:val="000000"/>
          <w:sz w:val="24"/>
          <w:szCs w:val="24"/>
        </w:rPr>
        <w:t xml:space="preserve"> Hotel Industry. Journal of Hospitality and Tourism Insights, 3(3), 371–393. https://doi.org/10.1108/jhti-07-2019-0095</w:t>
      </w:r>
    </w:p>
    <w:p w14:paraId="40FFD4AD" w14:textId="77777777" w:rsidR="00BD0703" w:rsidRPr="00FC1136" w:rsidRDefault="00BD0703" w:rsidP="00FC1136">
      <w:pPr>
        <w:spacing w:line="276" w:lineRule="auto"/>
        <w:ind w:left="567" w:hanging="567"/>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 xml:space="preserve">Rezaei, J., Roekel, W. S. v., &amp; </w:t>
      </w:r>
      <w:proofErr w:type="spellStart"/>
      <w:r w:rsidRPr="00FC1136">
        <w:rPr>
          <w:rFonts w:ascii="Garamond" w:eastAsia="Garamond" w:hAnsi="Garamond" w:cs="Garamond"/>
          <w:color w:val="000000"/>
          <w:sz w:val="24"/>
          <w:szCs w:val="24"/>
        </w:rPr>
        <w:t>Tavasszy</w:t>
      </w:r>
      <w:proofErr w:type="spellEnd"/>
      <w:r w:rsidRPr="00FC1136">
        <w:rPr>
          <w:rFonts w:ascii="Garamond" w:eastAsia="Garamond" w:hAnsi="Garamond" w:cs="Garamond"/>
          <w:color w:val="000000"/>
          <w:sz w:val="24"/>
          <w:szCs w:val="24"/>
        </w:rPr>
        <w:t>, L. (2018). Measuring the Relative Importance of the Logistics Performance Index Indicators Using Best Worst Method. Transport Policy, 68, 158–169. https://doi.org/10.1016/j.tranpol.2018.05.007</w:t>
      </w:r>
    </w:p>
    <w:p w14:paraId="318ED627" w14:textId="77777777" w:rsidR="00BD0703" w:rsidRPr="00FC1136" w:rsidRDefault="00BD0703" w:rsidP="00FC1136">
      <w:pPr>
        <w:spacing w:line="276" w:lineRule="auto"/>
        <w:ind w:left="567" w:hanging="567"/>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Shi, R., Bao-</w:t>
      </w:r>
      <w:proofErr w:type="spellStart"/>
      <w:r w:rsidRPr="00FC1136">
        <w:rPr>
          <w:rFonts w:ascii="Garamond" w:eastAsia="Garamond" w:hAnsi="Garamond" w:cs="Garamond"/>
          <w:color w:val="000000"/>
          <w:sz w:val="24"/>
          <w:szCs w:val="24"/>
        </w:rPr>
        <w:t>jun</w:t>
      </w:r>
      <w:proofErr w:type="spellEnd"/>
      <w:r w:rsidRPr="00FC1136">
        <w:rPr>
          <w:rFonts w:ascii="Garamond" w:eastAsia="Garamond" w:hAnsi="Garamond" w:cs="Garamond"/>
          <w:color w:val="000000"/>
          <w:sz w:val="24"/>
          <w:szCs w:val="24"/>
        </w:rPr>
        <w:t>, Y., Chu, Z., &amp; Lai, F. (2024). The Role of Relationship Commitment in Managing Logistics Outsourcing in the Digital Economy. Industrial Management &amp; Data Systems, 124(7), 2440–2466. https://doi.org/10.1108/imds-07-2023-0497</w:t>
      </w:r>
    </w:p>
    <w:p w14:paraId="4FBA5FD2" w14:textId="77777777" w:rsidR="00BD0703" w:rsidRPr="00FC1136" w:rsidRDefault="00BD0703" w:rsidP="00FC1136">
      <w:pPr>
        <w:spacing w:line="276" w:lineRule="auto"/>
        <w:ind w:left="567" w:hanging="567"/>
        <w:jc w:val="both"/>
        <w:rPr>
          <w:rFonts w:ascii="Garamond" w:eastAsia="Garamond" w:hAnsi="Garamond" w:cs="Garamond"/>
          <w:color w:val="000000"/>
          <w:sz w:val="24"/>
          <w:szCs w:val="24"/>
        </w:rPr>
      </w:pPr>
      <w:proofErr w:type="spellStart"/>
      <w:r w:rsidRPr="00FC1136">
        <w:rPr>
          <w:rFonts w:ascii="Garamond" w:eastAsia="Garamond" w:hAnsi="Garamond" w:cs="Garamond"/>
          <w:color w:val="000000"/>
          <w:sz w:val="24"/>
          <w:szCs w:val="24"/>
        </w:rPr>
        <w:t>Subiyanto</w:t>
      </w:r>
      <w:proofErr w:type="spellEnd"/>
      <w:r w:rsidRPr="00FC1136">
        <w:rPr>
          <w:rFonts w:ascii="Garamond" w:eastAsia="Garamond" w:hAnsi="Garamond" w:cs="Garamond"/>
          <w:color w:val="000000"/>
          <w:sz w:val="24"/>
          <w:szCs w:val="24"/>
        </w:rPr>
        <w:t>, E. (2021). Investigating the Logistics Costs Model: Recent Update in Indonesia. Journal of Science and Technology Policy Management, 12(2), 331–350. https://doi.org/10.1108/jstpm-03-2020-0034</w:t>
      </w:r>
    </w:p>
    <w:p w14:paraId="3BFAEA55" w14:textId="77777777" w:rsidR="00BD0703" w:rsidRPr="00FC1136" w:rsidRDefault="00BD0703" w:rsidP="00FC1136">
      <w:pPr>
        <w:spacing w:line="276" w:lineRule="auto"/>
        <w:ind w:left="567" w:hanging="567"/>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Thai, V. V., Rahman, S., &amp; Tran, M. D. (2021). Revisiting Critical Factors of Logistics Outsourcing Relationship: A Multiple-Case Study Approach. The International Journal of Logistics Management, 33(1), 165–189. https://doi.org/10.1108/ijlm-10-2020-0394</w:t>
      </w:r>
    </w:p>
    <w:p w14:paraId="23FCA010" w14:textId="77777777" w:rsidR="00BD0703" w:rsidRPr="00FC1136" w:rsidRDefault="00BD0703" w:rsidP="00FC1136">
      <w:pPr>
        <w:spacing w:line="276" w:lineRule="auto"/>
        <w:ind w:left="567" w:hanging="567"/>
        <w:jc w:val="both"/>
        <w:rPr>
          <w:rFonts w:ascii="Garamond" w:eastAsia="Garamond" w:hAnsi="Garamond" w:cs="Garamond"/>
          <w:color w:val="000000"/>
          <w:sz w:val="24"/>
          <w:szCs w:val="24"/>
        </w:rPr>
      </w:pPr>
      <w:proofErr w:type="spellStart"/>
      <w:r w:rsidRPr="00FC1136">
        <w:rPr>
          <w:rFonts w:ascii="Garamond" w:eastAsia="Garamond" w:hAnsi="Garamond" w:cs="Garamond"/>
          <w:color w:val="000000"/>
          <w:sz w:val="24"/>
          <w:szCs w:val="24"/>
        </w:rPr>
        <w:t>Torriero</w:t>
      </w:r>
      <w:proofErr w:type="spellEnd"/>
      <w:r w:rsidRPr="00FC1136">
        <w:rPr>
          <w:rFonts w:ascii="Garamond" w:eastAsia="Garamond" w:hAnsi="Garamond" w:cs="Garamond"/>
          <w:color w:val="000000"/>
          <w:sz w:val="24"/>
          <w:szCs w:val="24"/>
        </w:rPr>
        <w:t xml:space="preserve">, S., Mattavelli, G., </w:t>
      </w:r>
      <w:proofErr w:type="spellStart"/>
      <w:r w:rsidRPr="00FC1136">
        <w:rPr>
          <w:rFonts w:ascii="Garamond" w:eastAsia="Garamond" w:hAnsi="Garamond" w:cs="Garamond"/>
          <w:color w:val="000000"/>
          <w:sz w:val="24"/>
          <w:szCs w:val="24"/>
        </w:rPr>
        <w:t>Gerfo</w:t>
      </w:r>
      <w:proofErr w:type="spellEnd"/>
      <w:r w:rsidRPr="00FC1136">
        <w:rPr>
          <w:rFonts w:ascii="Garamond" w:eastAsia="Garamond" w:hAnsi="Garamond" w:cs="Garamond"/>
          <w:color w:val="000000"/>
          <w:sz w:val="24"/>
          <w:szCs w:val="24"/>
        </w:rPr>
        <w:t>, E. L., Lauro, L. J. R., Actis-Grosso, R., &amp; Ricciardelli, P. (2019). FEF Excitability in Attentional Bias: A TMS-EEG Study. Frontiers in Behavioral Neuroscience, 12. https://doi.org/10.3389/fnbeh.2018.00333</w:t>
      </w:r>
    </w:p>
    <w:p w14:paraId="2D954FD8" w14:textId="77777777" w:rsidR="00BD0703" w:rsidRPr="00FC1136" w:rsidRDefault="00BD0703" w:rsidP="00FC1136">
      <w:pPr>
        <w:spacing w:line="276" w:lineRule="auto"/>
        <w:ind w:left="567" w:hanging="567"/>
        <w:jc w:val="both"/>
        <w:rPr>
          <w:rFonts w:ascii="Garamond" w:eastAsia="Garamond" w:hAnsi="Garamond" w:cs="Garamond"/>
          <w:color w:val="000000"/>
          <w:sz w:val="24"/>
          <w:szCs w:val="24"/>
        </w:rPr>
      </w:pPr>
      <w:proofErr w:type="spellStart"/>
      <w:r w:rsidRPr="00FC1136">
        <w:rPr>
          <w:rFonts w:ascii="Garamond" w:eastAsia="Garamond" w:hAnsi="Garamond" w:cs="Garamond"/>
          <w:color w:val="000000"/>
          <w:sz w:val="24"/>
          <w:szCs w:val="24"/>
        </w:rPr>
        <w:t>Triantoro</w:t>
      </w:r>
      <w:proofErr w:type="spellEnd"/>
      <w:r w:rsidRPr="00FC1136">
        <w:rPr>
          <w:rFonts w:ascii="Garamond" w:eastAsia="Garamond" w:hAnsi="Garamond" w:cs="Garamond"/>
          <w:color w:val="000000"/>
          <w:sz w:val="24"/>
          <w:szCs w:val="24"/>
        </w:rPr>
        <w:t xml:space="preserve">, W. (2020). Comparative Cost Analysis of Domestic Container Shipping Network: A Case Study of Indonesian Sea-Toll Concept. </w:t>
      </w:r>
      <w:proofErr w:type="spellStart"/>
      <w:r w:rsidRPr="00FC1136">
        <w:rPr>
          <w:rFonts w:ascii="Garamond" w:eastAsia="Garamond" w:hAnsi="Garamond" w:cs="Garamond"/>
          <w:color w:val="000000"/>
          <w:sz w:val="24"/>
          <w:szCs w:val="24"/>
        </w:rPr>
        <w:t>Jurnal</w:t>
      </w:r>
      <w:proofErr w:type="spellEnd"/>
      <w:r w:rsidRPr="00FC1136">
        <w:rPr>
          <w:rFonts w:ascii="Garamond" w:eastAsia="Garamond" w:hAnsi="Garamond" w:cs="Garamond"/>
          <w:color w:val="000000"/>
          <w:sz w:val="24"/>
          <w:szCs w:val="24"/>
        </w:rPr>
        <w:t xml:space="preserve"> </w:t>
      </w:r>
      <w:proofErr w:type="spellStart"/>
      <w:r w:rsidRPr="00FC1136">
        <w:rPr>
          <w:rFonts w:ascii="Garamond" w:eastAsia="Garamond" w:hAnsi="Garamond" w:cs="Garamond"/>
          <w:color w:val="000000"/>
          <w:sz w:val="24"/>
          <w:szCs w:val="24"/>
        </w:rPr>
        <w:t>Penelitian</w:t>
      </w:r>
      <w:proofErr w:type="spellEnd"/>
      <w:r w:rsidRPr="00FC1136">
        <w:rPr>
          <w:rFonts w:ascii="Garamond" w:eastAsia="Garamond" w:hAnsi="Garamond" w:cs="Garamond"/>
          <w:color w:val="000000"/>
          <w:sz w:val="24"/>
          <w:szCs w:val="24"/>
        </w:rPr>
        <w:t xml:space="preserve"> </w:t>
      </w:r>
      <w:proofErr w:type="spellStart"/>
      <w:r w:rsidRPr="00FC1136">
        <w:rPr>
          <w:rFonts w:ascii="Garamond" w:eastAsia="Garamond" w:hAnsi="Garamond" w:cs="Garamond"/>
          <w:color w:val="000000"/>
          <w:sz w:val="24"/>
          <w:szCs w:val="24"/>
        </w:rPr>
        <w:t>Transportasi</w:t>
      </w:r>
      <w:proofErr w:type="spellEnd"/>
      <w:r w:rsidRPr="00FC1136">
        <w:rPr>
          <w:rFonts w:ascii="Garamond" w:eastAsia="Garamond" w:hAnsi="Garamond" w:cs="Garamond"/>
          <w:color w:val="000000"/>
          <w:sz w:val="24"/>
          <w:szCs w:val="24"/>
        </w:rPr>
        <w:t xml:space="preserve"> Laut, 22(1), 33–46. https://doi.org/10.25104/transla.v22i1.1535</w:t>
      </w:r>
    </w:p>
    <w:p w14:paraId="5424D6A0" w14:textId="77777777" w:rsidR="00BD0703" w:rsidRPr="00FC1136" w:rsidRDefault="00BD0703" w:rsidP="00FC1136">
      <w:pPr>
        <w:spacing w:line="276" w:lineRule="auto"/>
        <w:ind w:left="567" w:hanging="567"/>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 xml:space="preserve">Vlachos, I., &amp; </w:t>
      </w:r>
      <w:proofErr w:type="spellStart"/>
      <w:r w:rsidRPr="00FC1136">
        <w:rPr>
          <w:rFonts w:ascii="Garamond" w:eastAsia="Garamond" w:hAnsi="Garamond" w:cs="Garamond"/>
          <w:color w:val="000000"/>
          <w:sz w:val="24"/>
          <w:szCs w:val="24"/>
        </w:rPr>
        <w:t>Polichronidou</w:t>
      </w:r>
      <w:proofErr w:type="spellEnd"/>
      <w:r w:rsidRPr="00FC1136">
        <w:rPr>
          <w:rFonts w:ascii="Garamond" w:eastAsia="Garamond" w:hAnsi="Garamond" w:cs="Garamond"/>
          <w:color w:val="000000"/>
          <w:sz w:val="24"/>
          <w:szCs w:val="24"/>
        </w:rPr>
        <w:t>, V. (2023). Multi-Demand Supply Chain Triads and the Role of Third-Party Logistics Providers. The International Journal of Logistics Management, 35(1), 136–157. https://doi.org/10.1108/ijlm-04-2022-0161</w:t>
      </w:r>
    </w:p>
    <w:p w14:paraId="244AAB11" w14:textId="77777777" w:rsidR="00BD0703" w:rsidRPr="00FC1136" w:rsidRDefault="00BD0703" w:rsidP="00FC1136">
      <w:pPr>
        <w:spacing w:line="276" w:lineRule="auto"/>
        <w:ind w:left="567" w:hanging="567"/>
        <w:jc w:val="both"/>
        <w:rPr>
          <w:rFonts w:ascii="Garamond" w:eastAsia="Garamond" w:hAnsi="Garamond" w:cs="Garamond"/>
          <w:color w:val="000000"/>
          <w:sz w:val="24"/>
          <w:szCs w:val="24"/>
        </w:rPr>
      </w:pPr>
      <w:proofErr w:type="spellStart"/>
      <w:r w:rsidRPr="00FC1136">
        <w:rPr>
          <w:rFonts w:ascii="Garamond" w:eastAsia="Garamond" w:hAnsi="Garamond" w:cs="Garamond"/>
          <w:color w:val="000000"/>
          <w:sz w:val="24"/>
          <w:szCs w:val="24"/>
        </w:rPr>
        <w:t>Vouzas</w:t>
      </w:r>
      <w:proofErr w:type="spellEnd"/>
      <w:r w:rsidRPr="00FC1136">
        <w:rPr>
          <w:rFonts w:ascii="Garamond" w:eastAsia="Garamond" w:hAnsi="Garamond" w:cs="Garamond"/>
          <w:color w:val="000000"/>
          <w:sz w:val="24"/>
          <w:szCs w:val="24"/>
        </w:rPr>
        <w:t xml:space="preserve">, F., &amp; </w:t>
      </w:r>
      <w:proofErr w:type="spellStart"/>
      <w:r w:rsidRPr="00FC1136">
        <w:rPr>
          <w:rFonts w:ascii="Garamond" w:eastAsia="Garamond" w:hAnsi="Garamond" w:cs="Garamond"/>
          <w:color w:val="000000"/>
          <w:sz w:val="24"/>
          <w:szCs w:val="24"/>
        </w:rPr>
        <w:t>Katsogianni</w:t>
      </w:r>
      <w:proofErr w:type="spellEnd"/>
      <w:r w:rsidRPr="00FC1136">
        <w:rPr>
          <w:rFonts w:ascii="Garamond" w:eastAsia="Garamond" w:hAnsi="Garamond" w:cs="Garamond"/>
          <w:color w:val="000000"/>
          <w:sz w:val="24"/>
          <w:szCs w:val="24"/>
        </w:rPr>
        <w:t xml:space="preserve">, T. (2018). TQM Implementation in 3PL </w:t>
      </w:r>
      <w:proofErr w:type="spellStart"/>
      <w:r w:rsidRPr="00FC1136">
        <w:rPr>
          <w:rFonts w:ascii="Garamond" w:eastAsia="Garamond" w:hAnsi="Garamond" w:cs="Garamond"/>
          <w:color w:val="000000"/>
          <w:sz w:val="24"/>
          <w:szCs w:val="24"/>
        </w:rPr>
        <w:t>Organisations</w:t>
      </w:r>
      <w:proofErr w:type="spellEnd"/>
      <w:r w:rsidRPr="00FC1136">
        <w:rPr>
          <w:rFonts w:ascii="Garamond" w:eastAsia="Garamond" w:hAnsi="Garamond" w:cs="Garamond"/>
          <w:color w:val="000000"/>
          <w:sz w:val="24"/>
          <w:szCs w:val="24"/>
        </w:rPr>
        <w:t xml:space="preserve"> vs </w:t>
      </w:r>
      <w:proofErr w:type="spellStart"/>
      <w:r w:rsidRPr="00FC1136">
        <w:rPr>
          <w:rFonts w:ascii="Garamond" w:eastAsia="Garamond" w:hAnsi="Garamond" w:cs="Garamond"/>
          <w:color w:val="000000"/>
          <w:sz w:val="24"/>
          <w:szCs w:val="24"/>
        </w:rPr>
        <w:t>Organisations</w:t>
      </w:r>
      <w:proofErr w:type="spellEnd"/>
      <w:r w:rsidRPr="00FC1136">
        <w:rPr>
          <w:rFonts w:ascii="Garamond" w:eastAsia="Garamond" w:hAnsi="Garamond" w:cs="Garamond"/>
          <w:color w:val="000000"/>
          <w:sz w:val="24"/>
          <w:szCs w:val="24"/>
        </w:rPr>
        <w:t xml:space="preserve"> With </w:t>
      </w:r>
      <w:proofErr w:type="gramStart"/>
      <w:r w:rsidRPr="00FC1136">
        <w:rPr>
          <w:rFonts w:ascii="Garamond" w:eastAsia="Garamond" w:hAnsi="Garamond" w:cs="Garamond"/>
          <w:color w:val="000000"/>
          <w:sz w:val="24"/>
          <w:szCs w:val="24"/>
        </w:rPr>
        <w:t>in-House</w:t>
      </w:r>
      <w:proofErr w:type="gramEnd"/>
      <w:r w:rsidRPr="00FC1136">
        <w:rPr>
          <w:rFonts w:ascii="Garamond" w:eastAsia="Garamond" w:hAnsi="Garamond" w:cs="Garamond"/>
          <w:color w:val="000000"/>
          <w:sz w:val="24"/>
          <w:szCs w:val="24"/>
        </w:rPr>
        <w:t xml:space="preserve"> Logistics Department. The TQM Journal, 30(6), 749–763. https://doi.org/10.1108/tqm-10-2017-0115</w:t>
      </w:r>
    </w:p>
    <w:p w14:paraId="5F917714" w14:textId="77777777" w:rsidR="00BD0703" w:rsidRPr="00FC1136" w:rsidRDefault="00BD0703" w:rsidP="00FC1136">
      <w:pPr>
        <w:spacing w:line="276" w:lineRule="auto"/>
        <w:ind w:left="567" w:hanging="567"/>
        <w:jc w:val="both"/>
        <w:rPr>
          <w:rFonts w:ascii="Garamond" w:eastAsia="Garamond" w:hAnsi="Garamond" w:cs="Garamond"/>
          <w:color w:val="000000"/>
          <w:sz w:val="24"/>
          <w:szCs w:val="24"/>
        </w:rPr>
      </w:pPr>
      <w:r w:rsidRPr="00FC1136">
        <w:rPr>
          <w:rFonts w:ascii="Garamond" w:eastAsia="Garamond" w:hAnsi="Garamond" w:cs="Garamond"/>
          <w:color w:val="000000"/>
          <w:sz w:val="24"/>
          <w:szCs w:val="24"/>
        </w:rPr>
        <w:t xml:space="preserve">Wang, C., Nguyen, N.-A.-T., Dang, T., &amp; Lu, C.-M. (2021). A Compromised Decision-Making Approach to Third-Party Logistics Selection in Sustainable Supply Chain Using Fuzzy AHP </w:t>
      </w:r>
      <w:r w:rsidRPr="00FC1136">
        <w:rPr>
          <w:rFonts w:ascii="Garamond" w:eastAsia="Garamond" w:hAnsi="Garamond" w:cs="Garamond"/>
          <w:color w:val="000000"/>
          <w:sz w:val="24"/>
          <w:szCs w:val="24"/>
        </w:rPr>
        <w:lastRenderedPageBreak/>
        <w:t>and Fuzzy VIKOR Methods. Mathematics, 9(8), 886. https://doi.org/10.3390/math9080886</w:t>
      </w:r>
    </w:p>
    <w:p w14:paraId="6A92142D" w14:textId="77777777" w:rsidR="00303CA6" w:rsidRPr="00FC1136" w:rsidRDefault="00BD0703" w:rsidP="00FC1136">
      <w:pPr>
        <w:spacing w:line="276" w:lineRule="auto"/>
        <w:ind w:left="567" w:hanging="567"/>
        <w:jc w:val="both"/>
        <w:rPr>
          <w:rFonts w:ascii="Garamond" w:eastAsia="Garamond" w:hAnsi="Garamond" w:cs="Garamond"/>
          <w:sz w:val="24"/>
          <w:szCs w:val="24"/>
        </w:rPr>
      </w:pPr>
      <w:r w:rsidRPr="00FC1136">
        <w:rPr>
          <w:rFonts w:ascii="Garamond" w:eastAsia="Garamond" w:hAnsi="Garamond" w:cs="Garamond"/>
          <w:color w:val="000000"/>
          <w:sz w:val="24"/>
          <w:szCs w:val="24"/>
        </w:rPr>
        <w:t>Weston, S. J., Ritchie, S. J., Rohrer, J. M., &amp; Przybylski, A. K. (2019). Recommendations for Increasing the Transparency of Analysis of Preexisting Data Sets. Advances in Methods and Practices in Psychological Science, 2(3), 214–227. https://doi.org/10.1177/2515245919848684</w:t>
      </w:r>
      <w:r w:rsidRPr="00FC1136">
        <w:rPr>
          <w:rFonts w:ascii="Garamond" w:eastAsia="Garamond" w:hAnsi="Garamond" w:cs="Garamond"/>
          <w:color w:val="000000"/>
          <w:sz w:val="24"/>
          <w:szCs w:val="24"/>
          <w:highlight w:val="white"/>
        </w:rPr>
        <w:t>.</w:t>
      </w:r>
    </w:p>
    <w:sectPr w:rsidR="00303CA6" w:rsidRPr="00FC1136" w:rsidSect="00670BBF">
      <w:headerReference w:type="even" r:id="rId10"/>
      <w:headerReference w:type="default" r:id="rId11"/>
      <w:footerReference w:type="default" r:id="rId12"/>
      <w:headerReference w:type="first" r:id="rId13"/>
      <w:footerReference w:type="first" r:id="rId14"/>
      <w:pgSz w:w="11906" w:h="16838"/>
      <w:pgMar w:top="1440" w:right="1440" w:bottom="1440" w:left="1440" w:header="708" w:footer="708" w:gutter="0"/>
      <w:pgNumType w:start="13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EDE8B" w14:textId="77777777" w:rsidR="0076729C" w:rsidRDefault="0076729C">
      <w:pPr>
        <w:spacing w:after="0" w:line="240" w:lineRule="auto"/>
      </w:pPr>
      <w:r>
        <w:separator/>
      </w:r>
    </w:p>
  </w:endnote>
  <w:endnote w:type="continuationSeparator" w:id="0">
    <w:p w14:paraId="62ABA7BB" w14:textId="77777777" w:rsidR="0076729C" w:rsidRDefault="00767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F995EB77-14D0-4FBA-BD7D-72A25A96341D}"/>
    <w:embedBold r:id="rId2" w:fontKey="{263514A1-EC1E-4443-B2CC-721A0394912A}"/>
    <w:embedItalic r:id="rId3" w:fontKey="{14C4FEA9-20A4-4358-9418-09E6B0331B24}"/>
  </w:font>
  <w:font w:name="Calibri Light">
    <w:panose1 w:val="020F0302020204030204"/>
    <w:charset w:val="00"/>
    <w:family w:val="swiss"/>
    <w:pitch w:val="variable"/>
    <w:sig w:usb0="E4002EFF" w:usb1="C200247B" w:usb2="00000009" w:usb3="00000000" w:csb0="000001FF" w:csb1="00000000"/>
    <w:embedRegular r:id="rId4" w:fontKey="{CDD33494-F64A-4C2B-8B76-9FF27A82C975}"/>
  </w:font>
  <w:font w:name="Segoe UI">
    <w:panose1 w:val="020B0502040204020203"/>
    <w:charset w:val="00"/>
    <w:family w:val="swiss"/>
    <w:pitch w:val="variable"/>
    <w:sig w:usb0="E4002EFF" w:usb1="C000E47F" w:usb2="00000009" w:usb3="00000000" w:csb0="000001FF" w:csb1="00000000"/>
    <w:embedRegular r:id="rId5" w:fontKey="{49038078-6425-4685-BB00-07E60BC9B7AA}"/>
  </w:font>
  <w:font w:name="Georgia">
    <w:panose1 w:val="02040502050405020303"/>
    <w:charset w:val="00"/>
    <w:family w:val="roman"/>
    <w:pitch w:val="variable"/>
    <w:sig w:usb0="00000287" w:usb1="00000000" w:usb2="00000000" w:usb3="00000000" w:csb0="0000009F" w:csb1="00000000"/>
    <w:embedRegular r:id="rId6" w:fontKey="{C6C3CF08-D1DB-455E-A410-8285D0045F34}"/>
    <w:embedItalic r:id="rId7" w:fontKey="{0F4CF8B0-0FFF-4286-AC9F-59077A29392F}"/>
  </w:font>
  <w:font w:name="Garamond">
    <w:panose1 w:val="02020404030301010803"/>
    <w:charset w:val="00"/>
    <w:family w:val="roman"/>
    <w:pitch w:val="variable"/>
    <w:sig w:usb0="00000287" w:usb1="00000000" w:usb2="00000000" w:usb3="00000000" w:csb0="0000009F" w:csb1="00000000"/>
    <w:embedRegular r:id="rId8" w:fontKey="{E667C400-21FE-4753-8B23-52AD968678A5}"/>
    <w:embedBold r:id="rId9" w:fontKey="{81B52BE0-FE23-4C82-A2FD-BC297522C32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1E672" w14:textId="06A23873" w:rsidR="00303CA6" w:rsidRPr="00670BBF" w:rsidRDefault="00000000" w:rsidP="00FC1136">
    <w:pPr>
      <w:pBdr>
        <w:top w:val="single" w:sz="4" w:space="1" w:color="D9D9D9"/>
        <w:left w:val="nil"/>
        <w:bottom w:val="nil"/>
        <w:right w:val="nil"/>
        <w:between w:val="nil"/>
      </w:pBdr>
      <w:tabs>
        <w:tab w:val="center" w:pos="4680"/>
        <w:tab w:val="right" w:pos="9360"/>
      </w:tabs>
      <w:spacing w:after="0" w:line="240" w:lineRule="auto"/>
      <w:rPr>
        <w:rFonts w:ascii="Garamond" w:hAnsi="Garamond"/>
        <w:b/>
        <w:color w:val="000000"/>
      </w:rPr>
    </w:pPr>
    <w:r w:rsidRPr="00670BBF">
      <w:rPr>
        <w:rFonts w:ascii="Garamond" w:hAnsi="Garamond"/>
        <w:b/>
        <w:bCs/>
        <w:color w:val="000000"/>
      </w:rPr>
      <w:fldChar w:fldCharType="begin"/>
    </w:r>
    <w:r w:rsidRPr="00670BBF">
      <w:rPr>
        <w:rFonts w:ascii="Garamond" w:hAnsi="Garamond"/>
        <w:b/>
        <w:bCs/>
        <w:color w:val="000000"/>
      </w:rPr>
      <w:instrText>PAGE</w:instrText>
    </w:r>
    <w:r w:rsidRPr="00670BBF">
      <w:rPr>
        <w:rFonts w:ascii="Garamond" w:hAnsi="Garamond"/>
        <w:b/>
        <w:bCs/>
        <w:color w:val="000000"/>
      </w:rPr>
      <w:fldChar w:fldCharType="separate"/>
    </w:r>
    <w:r w:rsidR="00BD0703" w:rsidRPr="00670BBF">
      <w:rPr>
        <w:rFonts w:ascii="Garamond" w:hAnsi="Garamond"/>
        <w:b/>
        <w:bCs/>
        <w:noProof/>
        <w:color w:val="000000"/>
      </w:rPr>
      <w:t>2</w:t>
    </w:r>
    <w:r w:rsidRPr="00670BBF">
      <w:rPr>
        <w:rFonts w:ascii="Garamond" w:hAnsi="Garamond"/>
        <w:b/>
        <w:bCs/>
        <w:color w:val="000000"/>
      </w:rPr>
      <w:fldChar w:fldCharType="end"/>
    </w:r>
    <w:r w:rsidRPr="00670BBF">
      <w:rPr>
        <w:rFonts w:ascii="Garamond" w:hAnsi="Garamond"/>
        <w:b/>
        <w:bCs/>
        <w:color w:val="000000"/>
      </w:rPr>
      <w:t xml:space="preserve"> |</w:t>
    </w:r>
    <w:r w:rsidRPr="00670BBF">
      <w:rPr>
        <w:rFonts w:ascii="Garamond" w:hAnsi="Garamond"/>
        <w:b/>
        <w:color w:val="000000"/>
      </w:rPr>
      <w:t xml:space="preserve"> </w:t>
    </w:r>
    <w:proofErr w:type="spellStart"/>
    <w:r w:rsidRPr="00670BBF">
      <w:rPr>
        <w:rFonts w:ascii="Garamond" w:eastAsia="Garamond" w:hAnsi="Garamond" w:cs="Garamond"/>
        <w:color w:val="000000"/>
      </w:rPr>
      <w:t>Sinergi</w:t>
    </w:r>
    <w:proofErr w:type="spellEnd"/>
    <w:r w:rsidRPr="00670BBF">
      <w:rPr>
        <w:rFonts w:ascii="Garamond" w:eastAsia="Garamond" w:hAnsi="Garamond" w:cs="Garamond"/>
        <w:color w:val="000000"/>
      </w:rPr>
      <w:t xml:space="preserve"> International Journal of Logisti</w:t>
    </w:r>
    <w:r w:rsidR="00FC1136" w:rsidRPr="00670BBF">
      <w:rPr>
        <w:rFonts w:ascii="Garamond" w:eastAsia="Garamond" w:hAnsi="Garamond" w:cs="Garamond"/>
        <w:color w:val="000000"/>
      </w:rPr>
      <w:t xml:space="preserve">cs </w:t>
    </w:r>
    <w:r w:rsidR="00FC1136" w:rsidRPr="00670BBF">
      <w:rPr>
        <w:rFonts w:ascii="Garamond" w:eastAsia="Garamond" w:hAnsi="Garamond" w:cs="Garamond"/>
        <w:color w:val="000000"/>
      </w:rPr>
      <w:tab/>
    </w:r>
    <w:r w:rsidR="00FC1136" w:rsidRPr="00670BBF">
      <w:rPr>
        <w:rFonts w:ascii="Garamond" w:eastAsia="Garamond" w:hAnsi="Garamond" w:cs="Garamond"/>
        <w:color w:val="000000"/>
      </w:rPr>
      <w:tab/>
    </w:r>
    <w:hyperlink r:id="rId1" w:history="1">
      <w:r w:rsidR="00FC1136" w:rsidRPr="00670BBF">
        <w:rPr>
          <w:rStyle w:val="Hyperlink"/>
          <w:rFonts w:ascii="Garamond" w:eastAsia="Garamond" w:hAnsi="Garamond" w:cs="Garamond"/>
        </w:rPr>
        <w:t>https://journal.sinergi.or.id/index.php/ijl</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098C7" w14:textId="7AAF0C53" w:rsidR="00303CA6" w:rsidRPr="00670BBF" w:rsidRDefault="00000000" w:rsidP="00FC1136">
    <w:pPr>
      <w:pBdr>
        <w:top w:val="single" w:sz="4" w:space="1" w:color="D9D9D9"/>
        <w:left w:val="nil"/>
        <w:bottom w:val="nil"/>
        <w:right w:val="nil"/>
        <w:between w:val="nil"/>
      </w:pBdr>
      <w:tabs>
        <w:tab w:val="center" w:pos="4680"/>
        <w:tab w:val="right" w:pos="9360"/>
        <w:tab w:val="left" w:pos="8910"/>
      </w:tabs>
      <w:spacing w:after="0" w:line="240" w:lineRule="auto"/>
      <w:rPr>
        <w:rFonts w:ascii="Garamond" w:hAnsi="Garamond"/>
        <w:b/>
        <w:color w:val="000000"/>
      </w:rPr>
    </w:pPr>
    <w:r w:rsidRPr="00670BBF">
      <w:rPr>
        <w:rFonts w:ascii="Garamond" w:hAnsi="Garamond"/>
        <w:b/>
        <w:bCs/>
        <w:color w:val="000000"/>
      </w:rPr>
      <w:fldChar w:fldCharType="begin"/>
    </w:r>
    <w:r w:rsidRPr="00670BBF">
      <w:rPr>
        <w:rFonts w:ascii="Garamond" w:hAnsi="Garamond"/>
        <w:b/>
        <w:bCs/>
        <w:color w:val="000000"/>
      </w:rPr>
      <w:instrText>PAGE</w:instrText>
    </w:r>
    <w:r w:rsidRPr="00670BBF">
      <w:rPr>
        <w:rFonts w:ascii="Garamond" w:hAnsi="Garamond"/>
        <w:b/>
        <w:bCs/>
        <w:color w:val="000000"/>
      </w:rPr>
      <w:fldChar w:fldCharType="separate"/>
    </w:r>
    <w:r w:rsidR="00BD0703" w:rsidRPr="00670BBF">
      <w:rPr>
        <w:rFonts w:ascii="Garamond" w:hAnsi="Garamond"/>
        <w:b/>
        <w:bCs/>
        <w:noProof/>
        <w:color w:val="000000"/>
      </w:rPr>
      <w:t>1</w:t>
    </w:r>
    <w:r w:rsidRPr="00670BBF">
      <w:rPr>
        <w:rFonts w:ascii="Garamond" w:hAnsi="Garamond"/>
        <w:b/>
        <w:bCs/>
        <w:color w:val="000000"/>
      </w:rPr>
      <w:fldChar w:fldCharType="end"/>
    </w:r>
    <w:r w:rsidRPr="00670BBF">
      <w:rPr>
        <w:rFonts w:ascii="Garamond" w:hAnsi="Garamond"/>
        <w:b/>
        <w:bCs/>
        <w:color w:val="000000"/>
      </w:rPr>
      <w:t xml:space="preserve"> |</w:t>
    </w:r>
    <w:r w:rsidRPr="00670BBF">
      <w:rPr>
        <w:rFonts w:ascii="Garamond" w:hAnsi="Garamond"/>
        <w:b/>
        <w:color w:val="000000"/>
      </w:rPr>
      <w:t xml:space="preserve"> </w:t>
    </w:r>
    <w:bookmarkStart w:id="1" w:name="_Hlk212556987"/>
    <w:proofErr w:type="spellStart"/>
    <w:r w:rsidRPr="00670BBF">
      <w:rPr>
        <w:rFonts w:ascii="Garamond" w:eastAsia="Garamond" w:hAnsi="Garamond" w:cs="Garamond"/>
        <w:color w:val="000000"/>
      </w:rPr>
      <w:t>Sinergi</w:t>
    </w:r>
    <w:proofErr w:type="spellEnd"/>
    <w:r w:rsidRPr="00670BBF">
      <w:rPr>
        <w:rFonts w:ascii="Garamond" w:eastAsia="Garamond" w:hAnsi="Garamond" w:cs="Garamond"/>
        <w:color w:val="000000"/>
      </w:rPr>
      <w:t xml:space="preserve"> International Journal of Logistics</w:t>
    </w:r>
    <w:r w:rsidR="00FC1136" w:rsidRPr="00670BBF">
      <w:rPr>
        <w:rFonts w:ascii="Garamond" w:hAnsi="Garamond"/>
      </w:rPr>
      <w:t xml:space="preserve"> </w:t>
    </w:r>
    <w:r w:rsidR="00FC1136" w:rsidRPr="00670BBF">
      <w:rPr>
        <w:rFonts w:ascii="Garamond" w:hAnsi="Garamond"/>
      </w:rPr>
      <w:tab/>
    </w:r>
    <w:r w:rsidR="00FC1136" w:rsidRPr="00670BBF">
      <w:rPr>
        <w:rFonts w:ascii="Garamond" w:hAnsi="Garamond"/>
      </w:rPr>
      <w:tab/>
    </w:r>
    <w:hyperlink r:id="rId1" w:history="1">
      <w:r w:rsidR="00FC1136" w:rsidRPr="00670BBF">
        <w:rPr>
          <w:rStyle w:val="Hyperlink"/>
          <w:rFonts w:ascii="Garamond" w:eastAsia="Garamond" w:hAnsi="Garamond" w:cs="Garamond"/>
        </w:rPr>
        <w:t>https://journal.sinergi.or.id/index.php/ijl</w:t>
      </w:r>
    </w:hyperlink>
    <w:r w:rsidRPr="00670BBF">
      <w:rPr>
        <w:rFonts w:ascii="Garamond" w:eastAsia="Garamond" w:hAnsi="Garamond" w:cs="Garamond"/>
        <w:color w:val="000000"/>
      </w:rPr>
      <w:t xml:space="preserve"> </w:t>
    </w:r>
    <w:r w:rsidRPr="00670BBF">
      <w:rPr>
        <w:rFonts w:ascii="Garamond" w:hAnsi="Garamond"/>
        <w:color w:val="7F7F7F"/>
      </w:rPr>
      <w:t xml:space="preserve"> </w:t>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73AC7" w14:textId="77777777" w:rsidR="0076729C" w:rsidRDefault="0076729C">
      <w:pPr>
        <w:spacing w:after="0" w:line="240" w:lineRule="auto"/>
      </w:pPr>
      <w:r>
        <w:separator/>
      </w:r>
    </w:p>
  </w:footnote>
  <w:footnote w:type="continuationSeparator" w:id="0">
    <w:p w14:paraId="31B8DB38" w14:textId="77777777" w:rsidR="0076729C" w:rsidRDefault="007672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A1AB9" w14:textId="77777777" w:rsidR="00303CA6" w:rsidRDefault="00000000">
    <w:pPr>
      <w:pStyle w:val="Title"/>
      <w:spacing w:line="276" w:lineRule="auto"/>
      <w:rPr>
        <w:rFonts w:ascii="Garamond" w:eastAsia="Garamond" w:hAnsi="Garamond" w:cs="Garamond"/>
        <w:sz w:val="22"/>
        <w:szCs w:val="22"/>
      </w:rPr>
    </w:pPr>
    <w:proofErr w:type="spellStart"/>
    <w:r>
      <w:rPr>
        <w:rFonts w:ascii="Garamond" w:eastAsia="Garamond" w:hAnsi="Garamond" w:cs="Garamond"/>
        <w:sz w:val="22"/>
        <w:szCs w:val="22"/>
      </w:rPr>
      <w:t>Pengaruh</w:t>
    </w:r>
    <w:proofErr w:type="spellEnd"/>
    <w:r>
      <w:rPr>
        <w:rFonts w:ascii="Garamond" w:eastAsia="Garamond" w:hAnsi="Garamond" w:cs="Garamond"/>
        <w:sz w:val="22"/>
        <w:szCs w:val="22"/>
      </w:rPr>
      <w:t xml:space="preserve"> Strategi </w:t>
    </w:r>
    <w:proofErr w:type="spellStart"/>
    <w:r>
      <w:rPr>
        <w:rFonts w:ascii="Garamond" w:eastAsia="Garamond" w:hAnsi="Garamond" w:cs="Garamond"/>
        <w:sz w:val="22"/>
        <w:szCs w:val="22"/>
      </w:rPr>
      <w:t>Pemasaran</w:t>
    </w:r>
    <w:proofErr w:type="spellEnd"/>
    <w:r>
      <w:rPr>
        <w:rFonts w:ascii="Garamond" w:eastAsia="Garamond" w:hAnsi="Garamond" w:cs="Garamond"/>
        <w:sz w:val="22"/>
        <w:szCs w:val="22"/>
      </w:rPr>
      <w:t xml:space="preserve"> Dan </w:t>
    </w:r>
    <w:proofErr w:type="spellStart"/>
    <w:r>
      <w:rPr>
        <w:rFonts w:ascii="Garamond" w:eastAsia="Garamond" w:hAnsi="Garamond" w:cs="Garamond"/>
        <w:sz w:val="22"/>
        <w:szCs w:val="22"/>
      </w:rPr>
      <w:t>Kualitas</w:t>
    </w:r>
    <w:proofErr w:type="spellEnd"/>
    <w:r>
      <w:rPr>
        <w:rFonts w:ascii="Garamond" w:eastAsia="Garamond" w:hAnsi="Garamond" w:cs="Garamond"/>
        <w:sz w:val="22"/>
        <w:szCs w:val="22"/>
      </w:rPr>
      <w:t xml:space="preserve"> </w:t>
    </w:r>
    <w:proofErr w:type="gramStart"/>
    <w:r>
      <w:rPr>
        <w:rFonts w:ascii="Garamond" w:eastAsia="Garamond" w:hAnsi="Garamond" w:cs="Garamond"/>
        <w:sz w:val="22"/>
        <w:szCs w:val="22"/>
      </w:rPr>
      <w:t xml:space="preserve">Layanan  </w:t>
    </w:r>
    <w:proofErr w:type="spellStart"/>
    <w:r>
      <w:rPr>
        <w:rFonts w:ascii="Garamond" w:eastAsia="Garamond" w:hAnsi="Garamond" w:cs="Garamond"/>
        <w:sz w:val="22"/>
        <w:szCs w:val="22"/>
      </w:rPr>
      <w:t>Terhadap</w:t>
    </w:r>
    <w:proofErr w:type="spellEnd"/>
    <w:proofErr w:type="gramEnd"/>
    <w:r>
      <w:rPr>
        <w:rFonts w:ascii="Garamond" w:eastAsia="Garamond" w:hAnsi="Garamond" w:cs="Garamond"/>
        <w:sz w:val="22"/>
        <w:szCs w:val="22"/>
      </w:rPr>
      <w:t xml:space="preserve"> Keputusan Orang Tua </w:t>
    </w:r>
    <w:proofErr w:type="spellStart"/>
    <w:r>
      <w:rPr>
        <w:rFonts w:ascii="Garamond" w:eastAsia="Garamond" w:hAnsi="Garamond" w:cs="Garamond"/>
        <w:sz w:val="22"/>
        <w:szCs w:val="22"/>
      </w:rPr>
      <w:t>Siswa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09397" w14:textId="77777777" w:rsidR="00670BBF" w:rsidRDefault="00670BBF" w:rsidP="00670BBF">
    <w:pPr>
      <w:spacing w:after="0" w:line="276" w:lineRule="auto"/>
      <w:jc w:val="both"/>
      <w:rPr>
        <w:rFonts w:ascii="Garamond" w:eastAsia="Garamond" w:hAnsi="Garamond" w:cs="Garamond"/>
        <w:b/>
      </w:rPr>
    </w:pPr>
    <w:r w:rsidRPr="00670BBF">
      <w:rPr>
        <w:rFonts w:ascii="Garamond" w:eastAsia="Garamond" w:hAnsi="Garamond" w:cs="Garamond"/>
        <w:b/>
      </w:rPr>
      <w:t>Unlocking Logistics Efficiency: The Strategic Role of Third-Party Logistics (3PL) in Indonesia’s Manufacturing Sector</w:t>
    </w:r>
  </w:p>
  <w:p w14:paraId="351DDADD" w14:textId="03AE5A1F" w:rsidR="00303CA6" w:rsidRDefault="00BC4E48" w:rsidP="00670BBF">
    <w:pPr>
      <w:spacing w:after="0" w:line="276" w:lineRule="auto"/>
      <w:jc w:val="both"/>
      <w:rPr>
        <w:rFonts w:ascii="Garamond" w:eastAsia="Garamond" w:hAnsi="Garamond" w:cs="Garamond"/>
        <w:bCs/>
      </w:rPr>
    </w:pPr>
    <w:r>
      <w:rPr>
        <w:rFonts w:ascii="Garamond" w:eastAsia="Garamond" w:hAnsi="Garamond" w:cs="Garamond"/>
        <w:bCs/>
      </w:rPr>
      <w:t>Zulkarnain</w:t>
    </w:r>
  </w:p>
  <w:p w14:paraId="46AAE484" w14:textId="77777777" w:rsidR="00670BBF" w:rsidRPr="00670BBF" w:rsidRDefault="00670BBF" w:rsidP="00670BBF">
    <w:pPr>
      <w:pBdr>
        <w:top w:val="single" w:sz="4" w:space="1" w:color="auto"/>
      </w:pBdr>
      <w:spacing w:after="0" w:line="276" w:lineRule="auto"/>
      <w:jc w:val="both"/>
      <w:rPr>
        <w:rFonts w:ascii="Garamond" w:eastAsia="Garamond" w:hAnsi="Garamond" w:cs="Garamond"/>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E6CB8" w14:textId="77777777" w:rsidR="00FC1136" w:rsidRDefault="00FC1136" w:rsidP="00FC1136">
    <w:pPr>
      <w:pBdr>
        <w:top w:val="nil"/>
        <w:left w:val="nil"/>
        <w:bottom w:val="nil"/>
        <w:right w:val="nil"/>
        <w:between w:val="nil"/>
      </w:pBdr>
      <w:tabs>
        <w:tab w:val="center" w:pos="4680"/>
        <w:tab w:val="right" w:pos="9360"/>
      </w:tabs>
      <w:spacing w:after="0" w:line="240" w:lineRule="auto"/>
      <w:ind w:left="1260"/>
      <w:rPr>
        <w:rFonts w:ascii="Garamond" w:eastAsia="Garamond" w:hAnsi="Garamond" w:cs="Garamond"/>
        <w:b/>
        <w:color w:val="000000"/>
        <w:sz w:val="32"/>
        <w:szCs w:val="32"/>
      </w:rPr>
    </w:pPr>
    <w:proofErr w:type="spellStart"/>
    <w:r>
      <w:rPr>
        <w:rFonts w:ascii="Garamond" w:eastAsia="Garamond" w:hAnsi="Garamond" w:cs="Garamond"/>
        <w:b/>
        <w:color w:val="000000"/>
        <w:sz w:val="32"/>
        <w:szCs w:val="32"/>
      </w:rPr>
      <w:t>Sinergi</w:t>
    </w:r>
    <w:proofErr w:type="spellEnd"/>
    <w:r>
      <w:rPr>
        <w:rFonts w:ascii="Garamond" w:eastAsia="Garamond" w:hAnsi="Garamond" w:cs="Garamond"/>
        <w:b/>
        <w:color w:val="000000"/>
        <w:sz w:val="32"/>
        <w:szCs w:val="32"/>
      </w:rPr>
      <w:t xml:space="preserve"> International Journal of </w:t>
    </w:r>
    <w:r>
      <w:rPr>
        <w:noProof/>
      </w:rPr>
      <w:drawing>
        <wp:anchor distT="0" distB="0" distL="0" distR="0" simplePos="0" relativeHeight="251659264" behindDoc="1" locked="0" layoutInCell="1" hidden="0" allowOverlap="1" wp14:anchorId="3C70E036" wp14:editId="515653DA">
          <wp:simplePos x="0" y="0"/>
          <wp:positionH relativeFrom="column">
            <wp:posOffset>33489</wp:posOffset>
          </wp:positionH>
          <wp:positionV relativeFrom="paragraph">
            <wp:posOffset>-40004</wp:posOffset>
          </wp:positionV>
          <wp:extent cx="719593" cy="735548"/>
          <wp:effectExtent l="0" t="0" r="0" b="0"/>
          <wp:wrapNone/>
          <wp:docPr id="22455561" name="Picture 22455561" descr="A logo with a book and leaves&#10;&#10;Description automatically generated"/>
          <wp:cNvGraphicFramePr/>
          <a:graphic xmlns:a="http://schemas.openxmlformats.org/drawingml/2006/main">
            <a:graphicData uri="http://schemas.openxmlformats.org/drawingml/2006/picture">
              <pic:pic xmlns:pic="http://schemas.openxmlformats.org/drawingml/2006/picture">
                <pic:nvPicPr>
                  <pic:cNvPr id="22455561" name="Picture 22455561" descr="A logo with a book and leaves&#10;&#10;Description automatically generated"/>
                  <pic:cNvPicPr preferRelativeResize="0"/>
                </pic:nvPicPr>
                <pic:blipFill>
                  <a:blip r:embed="rId1"/>
                  <a:srcRect l="19603" t="19603" r="20256" b="18923"/>
                  <a:stretch>
                    <a:fillRect/>
                  </a:stretch>
                </pic:blipFill>
                <pic:spPr>
                  <a:xfrm>
                    <a:off x="0" y="0"/>
                    <a:ext cx="719593" cy="735548"/>
                  </a:xfrm>
                  <a:prstGeom prst="rect">
                    <a:avLst/>
                  </a:prstGeom>
                  <a:ln/>
                </pic:spPr>
              </pic:pic>
            </a:graphicData>
          </a:graphic>
        </wp:anchor>
      </w:drawing>
    </w:r>
    <w:r>
      <w:rPr>
        <w:rFonts w:ascii="Garamond" w:eastAsia="Garamond" w:hAnsi="Garamond" w:cs="Garamond"/>
        <w:b/>
        <w:color w:val="000000"/>
        <w:sz w:val="32"/>
        <w:szCs w:val="32"/>
      </w:rPr>
      <w:t>Logistics</w:t>
    </w:r>
  </w:p>
  <w:p w14:paraId="3ABD9E1E" w14:textId="77777777" w:rsidR="00FC1136" w:rsidRDefault="00FC1136" w:rsidP="00FC1136">
    <w:pPr>
      <w:spacing w:after="0" w:line="240" w:lineRule="auto"/>
      <w:ind w:left="1260"/>
      <w:rPr>
        <w:rFonts w:ascii="Garamond" w:eastAsia="Garamond" w:hAnsi="Garamond" w:cs="Garamond"/>
      </w:rPr>
    </w:pPr>
    <w:r>
      <w:rPr>
        <w:rFonts w:ascii="Garamond" w:eastAsia="Garamond" w:hAnsi="Garamond" w:cs="Garamond"/>
      </w:rPr>
      <w:t xml:space="preserve">E-ISSN: </w:t>
    </w:r>
    <w:r w:rsidRPr="00E71725">
      <w:rPr>
        <w:rFonts w:ascii="Garamond" w:eastAsia="Garamond" w:hAnsi="Garamond" w:cs="Garamond"/>
      </w:rPr>
      <w:t>2988-6244</w:t>
    </w:r>
  </w:p>
  <w:p w14:paraId="1767C57C" w14:textId="438095DE" w:rsidR="00FC1136" w:rsidRDefault="00FC1136" w:rsidP="00FC1136">
    <w:pPr>
      <w:tabs>
        <w:tab w:val="right" w:pos="8931"/>
      </w:tabs>
      <w:spacing w:after="0" w:line="240" w:lineRule="auto"/>
      <w:ind w:left="1260"/>
      <w:rPr>
        <w:rFonts w:ascii="Garamond" w:eastAsia="Garamond" w:hAnsi="Garamond" w:cs="Garamond"/>
      </w:rPr>
    </w:pPr>
    <w:r>
      <w:rPr>
        <w:rFonts w:ascii="Garamond" w:eastAsia="Garamond" w:hAnsi="Garamond" w:cs="Garamond"/>
      </w:rPr>
      <w:t>Volume. 3, Issue 3, August 2025</w:t>
    </w:r>
  </w:p>
  <w:p w14:paraId="030FDEB2" w14:textId="02283B80" w:rsidR="00FC1136" w:rsidRDefault="00FC1136" w:rsidP="00FC1136">
    <w:pPr>
      <w:tabs>
        <w:tab w:val="right" w:pos="8931"/>
      </w:tabs>
      <w:spacing w:after="0" w:line="240" w:lineRule="auto"/>
      <w:ind w:left="1260"/>
      <w:rPr>
        <w:rFonts w:ascii="Garamond" w:eastAsia="Garamond" w:hAnsi="Garamond" w:cs="Garamond"/>
        <w:color w:val="000000"/>
      </w:rPr>
    </w:pPr>
    <w:r>
      <w:rPr>
        <w:rFonts w:ascii="Garamond" w:eastAsia="Garamond" w:hAnsi="Garamond" w:cs="Garamond"/>
        <w:color w:val="000000"/>
      </w:rPr>
      <w:t xml:space="preserve">Page No: </w:t>
    </w:r>
    <w:r w:rsidR="00670BBF">
      <w:rPr>
        <w:rFonts w:ascii="Garamond" w:eastAsia="Garamond" w:hAnsi="Garamond" w:cs="Garamond"/>
        <w:color w:val="000000"/>
      </w:rPr>
      <w:t>135-144</w:t>
    </w:r>
  </w:p>
  <w:p w14:paraId="767D786C" w14:textId="77777777" w:rsidR="00303CA6" w:rsidRPr="00FC1136" w:rsidRDefault="00303CA6" w:rsidP="00FC1136">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766D79"/>
    <w:multiLevelType w:val="hybridMultilevel"/>
    <w:tmpl w:val="097C491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68460D60"/>
    <w:multiLevelType w:val="hybridMultilevel"/>
    <w:tmpl w:val="C22A631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355696380">
    <w:abstractNumId w:val="1"/>
  </w:num>
  <w:num w:numId="2" w16cid:durableId="1387337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CA6"/>
    <w:rsid w:val="000C589E"/>
    <w:rsid w:val="00267C20"/>
    <w:rsid w:val="00303CA6"/>
    <w:rsid w:val="00323E26"/>
    <w:rsid w:val="00597ABE"/>
    <w:rsid w:val="00670BBF"/>
    <w:rsid w:val="007536BF"/>
    <w:rsid w:val="0076729C"/>
    <w:rsid w:val="00783692"/>
    <w:rsid w:val="00A25FA4"/>
    <w:rsid w:val="00AB16E6"/>
    <w:rsid w:val="00AB79E5"/>
    <w:rsid w:val="00B83B13"/>
    <w:rsid w:val="00BC4E48"/>
    <w:rsid w:val="00BD0703"/>
    <w:rsid w:val="00BE2536"/>
    <w:rsid w:val="00C41165"/>
    <w:rsid w:val="00E82209"/>
    <w:rsid w:val="00FC113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6CA319"/>
  <w15:docId w15:val="{49D61D71-54B7-45AF-94D4-2ECAA2A05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3C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131A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34C3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03C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03C7B"/>
    <w:rPr>
      <w:rFonts w:asciiTheme="majorHAnsi" w:eastAsiaTheme="majorEastAsia" w:hAnsiTheme="majorHAnsi" w:cstheme="majorBidi"/>
      <w:color w:val="2F5496" w:themeColor="accent1" w:themeShade="BF"/>
      <w:sz w:val="32"/>
      <w:szCs w:val="32"/>
    </w:rPr>
  </w:style>
  <w:style w:type="character" w:customStyle="1" w:styleId="TitleChar">
    <w:name w:val="Title Char"/>
    <w:basedOn w:val="DefaultParagraphFont"/>
    <w:link w:val="Title"/>
    <w:uiPriority w:val="10"/>
    <w:rsid w:val="00D03C7B"/>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semiHidden/>
    <w:rsid w:val="00034C3A"/>
    <w:rPr>
      <w:rFonts w:asciiTheme="majorHAnsi" w:eastAsiaTheme="majorEastAsia" w:hAnsiTheme="majorHAnsi" w:cstheme="majorBidi"/>
      <w:color w:val="1F3763" w:themeColor="accent1" w:themeShade="7F"/>
      <w:sz w:val="24"/>
      <w:szCs w:val="24"/>
    </w:rPr>
  </w:style>
  <w:style w:type="character" w:customStyle="1" w:styleId="go">
    <w:name w:val="go"/>
    <w:basedOn w:val="DefaultParagraphFont"/>
    <w:rsid w:val="00034C3A"/>
  </w:style>
  <w:style w:type="paragraph" w:styleId="Header">
    <w:name w:val="header"/>
    <w:basedOn w:val="Normal"/>
    <w:link w:val="HeaderChar"/>
    <w:uiPriority w:val="99"/>
    <w:unhideWhenUsed/>
    <w:rsid w:val="006131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31A0"/>
  </w:style>
  <w:style w:type="paragraph" w:styleId="Footer">
    <w:name w:val="footer"/>
    <w:basedOn w:val="Normal"/>
    <w:link w:val="FooterChar"/>
    <w:uiPriority w:val="99"/>
    <w:unhideWhenUsed/>
    <w:rsid w:val="006131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31A0"/>
  </w:style>
  <w:style w:type="paragraph" w:styleId="ListParagraph">
    <w:name w:val="List Paragraph"/>
    <w:basedOn w:val="Normal"/>
    <w:uiPriority w:val="34"/>
    <w:qFormat/>
    <w:rsid w:val="006131A0"/>
    <w:pPr>
      <w:spacing w:after="200" w:line="276" w:lineRule="auto"/>
      <w:ind w:left="720"/>
      <w:contextualSpacing/>
    </w:pPr>
    <w:rPr>
      <w:rFonts w:cs="Times New Roman"/>
    </w:rPr>
  </w:style>
  <w:style w:type="paragraph" w:styleId="FootnoteText">
    <w:name w:val="footnote text"/>
    <w:basedOn w:val="Normal"/>
    <w:link w:val="FootnoteTextChar"/>
    <w:uiPriority w:val="99"/>
    <w:unhideWhenUsed/>
    <w:rsid w:val="006131A0"/>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rsid w:val="006131A0"/>
    <w:rPr>
      <w:rFonts w:ascii="Calibri" w:eastAsia="Calibri" w:hAnsi="Calibri" w:cs="Times New Roman"/>
      <w:sz w:val="20"/>
      <w:szCs w:val="20"/>
    </w:rPr>
  </w:style>
  <w:style w:type="character" w:styleId="FootnoteReference">
    <w:name w:val="footnote reference"/>
    <w:uiPriority w:val="99"/>
    <w:semiHidden/>
    <w:unhideWhenUsed/>
    <w:rsid w:val="006131A0"/>
    <w:rPr>
      <w:vertAlign w:val="superscript"/>
    </w:rPr>
  </w:style>
  <w:style w:type="character" w:customStyle="1" w:styleId="Heading2Char">
    <w:name w:val="Heading 2 Char"/>
    <w:basedOn w:val="DefaultParagraphFont"/>
    <w:link w:val="Heading2"/>
    <w:uiPriority w:val="9"/>
    <w:rsid w:val="006131A0"/>
    <w:rPr>
      <w:rFonts w:asciiTheme="majorHAnsi" w:eastAsiaTheme="majorEastAsia" w:hAnsiTheme="majorHAnsi" w:cstheme="majorBidi"/>
      <w:color w:val="2F5496" w:themeColor="accent1" w:themeShade="BF"/>
      <w:sz w:val="26"/>
      <w:szCs w:val="26"/>
    </w:rPr>
  </w:style>
  <w:style w:type="character" w:styleId="Hyperlink">
    <w:name w:val="Hyperlink"/>
    <w:uiPriority w:val="99"/>
    <w:unhideWhenUsed/>
    <w:rsid w:val="00012409"/>
    <w:rPr>
      <w:color w:val="0000FF"/>
      <w:u w:val="single"/>
    </w:rPr>
  </w:style>
  <w:style w:type="paragraph" w:styleId="Caption">
    <w:name w:val="caption"/>
    <w:basedOn w:val="Normal"/>
    <w:next w:val="Normal"/>
    <w:uiPriority w:val="35"/>
    <w:unhideWhenUsed/>
    <w:qFormat/>
    <w:rsid w:val="00086EEA"/>
    <w:pPr>
      <w:spacing w:after="200" w:line="240" w:lineRule="auto"/>
    </w:pPr>
    <w:rPr>
      <w:i/>
      <w:iCs/>
      <w:color w:val="44546A" w:themeColor="text2"/>
      <w:sz w:val="18"/>
      <w:szCs w:val="18"/>
    </w:rPr>
  </w:style>
  <w:style w:type="table" w:styleId="PlainTable2">
    <w:name w:val="Plain Table 2"/>
    <w:basedOn w:val="TableNormal"/>
    <w:uiPriority w:val="42"/>
    <w:rsid w:val="00B54DC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89274B"/>
    <w:rPr>
      <w:sz w:val="16"/>
      <w:szCs w:val="16"/>
    </w:rPr>
  </w:style>
  <w:style w:type="paragraph" w:styleId="CommentText">
    <w:name w:val="annotation text"/>
    <w:basedOn w:val="Normal"/>
    <w:link w:val="CommentTextChar"/>
    <w:uiPriority w:val="99"/>
    <w:semiHidden/>
    <w:unhideWhenUsed/>
    <w:rsid w:val="0089274B"/>
    <w:pPr>
      <w:spacing w:line="240" w:lineRule="auto"/>
    </w:pPr>
    <w:rPr>
      <w:sz w:val="20"/>
      <w:szCs w:val="20"/>
    </w:rPr>
  </w:style>
  <w:style w:type="character" w:customStyle="1" w:styleId="CommentTextChar">
    <w:name w:val="Comment Text Char"/>
    <w:basedOn w:val="DefaultParagraphFont"/>
    <w:link w:val="CommentText"/>
    <w:uiPriority w:val="99"/>
    <w:semiHidden/>
    <w:rsid w:val="0089274B"/>
    <w:rPr>
      <w:sz w:val="20"/>
      <w:szCs w:val="20"/>
    </w:rPr>
  </w:style>
  <w:style w:type="paragraph" w:styleId="CommentSubject">
    <w:name w:val="annotation subject"/>
    <w:basedOn w:val="CommentText"/>
    <w:next w:val="CommentText"/>
    <w:link w:val="CommentSubjectChar"/>
    <w:uiPriority w:val="99"/>
    <w:semiHidden/>
    <w:unhideWhenUsed/>
    <w:rsid w:val="0089274B"/>
    <w:rPr>
      <w:b/>
      <w:bCs/>
    </w:rPr>
  </w:style>
  <w:style w:type="character" w:customStyle="1" w:styleId="CommentSubjectChar">
    <w:name w:val="Comment Subject Char"/>
    <w:basedOn w:val="CommentTextChar"/>
    <w:link w:val="CommentSubject"/>
    <w:uiPriority w:val="99"/>
    <w:semiHidden/>
    <w:rsid w:val="0089274B"/>
    <w:rPr>
      <w:b/>
      <w:bCs/>
      <w:sz w:val="20"/>
      <w:szCs w:val="20"/>
    </w:rPr>
  </w:style>
  <w:style w:type="paragraph" w:styleId="BalloonText">
    <w:name w:val="Balloon Text"/>
    <w:basedOn w:val="Normal"/>
    <w:link w:val="BalloonTextChar"/>
    <w:uiPriority w:val="99"/>
    <w:semiHidden/>
    <w:unhideWhenUsed/>
    <w:rsid w:val="008927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74B"/>
    <w:rPr>
      <w:rFonts w:ascii="Segoe UI" w:hAnsi="Segoe UI" w:cs="Segoe UI"/>
      <w:sz w:val="18"/>
      <w:szCs w:val="18"/>
    </w:rPr>
  </w:style>
  <w:style w:type="table" w:styleId="TableGrid">
    <w:name w:val="Table Grid"/>
    <w:basedOn w:val="TableNormal"/>
    <w:uiPriority w:val="39"/>
    <w:rsid w:val="008927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B75C5"/>
  </w:style>
  <w:style w:type="character" w:styleId="UnresolvedMention">
    <w:name w:val="Unresolved Mention"/>
    <w:basedOn w:val="DefaultParagraphFont"/>
    <w:uiPriority w:val="99"/>
    <w:semiHidden/>
    <w:unhideWhenUsed/>
    <w:rsid w:val="00B622D1"/>
    <w:rPr>
      <w:color w:val="605E5C"/>
      <w:shd w:val="clear" w:color="auto" w:fill="E1DFDD"/>
    </w:rPr>
  </w:style>
  <w:style w:type="paragraph" w:styleId="HTMLPreformatted">
    <w:name w:val="HTML Preformatted"/>
    <w:basedOn w:val="Normal"/>
    <w:link w:val="HTMLPreformattedChar"/>
    <w:uiPriority w:val="99"/>
    <w:semiHidden/>
    <w:unhideWhenUsed/>
    <w:rsid w:val="006D0C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D0C39"/>
    <w:rPr>
      <w:rFonts w:ascii="Courier New" w:eastAsia="Times New Roman" w:hAnsi="Courier New" w:cs="Courier New"/>
      <w:sz w:val="20"/>
      <w:szCs w:val="20"/>
    </w:rPr>
  </w:style>
  <w:style w:type="paragraph" w:customStyle="1" w:styleId="Default">
    <w:name w:val="Default"/>
    <w:rsid w:val="00041A65"/>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FollowedHyperlink">
    <w:name w:val="FollowedHyperlink"/>
    <w:basedOn w:val="DefaultParagraphFont"/>
    <w:uiPriority w:val="99"/>
    <w:semiHidden/>
    <w:unhideWhenUsed/>
    <w:rsid w:val="00B35205"/>
    <w:rPr>
      <w:color w:val="954F72" w:themeColor="followedHyperlink"/>
      <w:u w:val="single"/>
    </w:rPr>
  </w:style>
  <w:style w:type="paragraph" w:styleId="NormalWeb">
    <w:name w:val="Normal (Web)"/>
    <w:basedOn w:val="Normal"/>
    <w:uiPriority w:val="99"/>
    <w:semiHidden/>
    <w:unhideWhenUsed/>
    <w:rsid w:val="002F1AE4"/>
    <w:pPr>
      <w:spacing w:before="100" w:beforeAutospacing="1" w:after="100" w:afterAutospacing="1" w:line="240" w:lineRule="auto"/>
    </w:pPr>
    <w:rPr>
      <w:rFonts w:ascii="Times New Roman" w:eastAsia="Times New Roman" w:hAnsi="Times New Roman" w:cs="Times New Roman"/>
      <w:sz w:val="24"/>
      <w:szCs w:val="24"/>
    </w:rPr>
  </w:style>
  <w:style w:type="table" w:styleId="PlainTable3">
    <w:name w:val="Plain Table 3"/>
    <w:basedOn w:val="TableNormal"/>
    <w:uiPriority w:val="43"/>
    <w:rsid w:val="00ED777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quirina@poltekbangsby.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s://journal.sinergi.or.id/index.php/ij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ournal.sinergi.or.id/index.php/ij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4iNXxKkwknN/Fm+bKo8weEQgTw==">CgMxLjAyCGguZ2pkZ3hzOAByITFIQUhJWmFHdnpCaUdmSDAyUHpVWWhSRUl0bTUwcTNnTA==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10</Pages>
  <Words>4197</Words>
  <Characters>23926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 Sofyan</dc:creator>
  <cp:lastModifiedBy>Penerbit Ilmiah</cp:lastModifiedBy>
  <cp:revision>10</cp:revision>
  <dcterms:created xsi:type="dcterms:W3CDTF">2025-10-24T03:45:00Z</dcterms:created>
  <dcterms:modified xsi:type="dcterms:W3CDTF">2025-10-30T02:49:00Z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7f1d7f4e-6119-3d01-b83a-d0a4f84460ee</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e06d41cad19b3276f3509cc6de3683e5048ad7d054c89b10f25777e9cfcf04ce</vt:lpwstr>
  </property>
</Properties>
</file>